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AF0D632" w14:textId="77777777" w:rsidR="003919F5" w:rsidRDefault="003919F5" w:rsidP="003919F5">
      <w:pPr>
        <w:spacing w:line="360" w:lineRule="auto"/>
        <w:jc w:val="center"/>
        <w:rPr>
          <w:rFonts w:ascii="Arial" w:hAnsi="Arial" w:cs="Arial"/>
          <w:color w:val="000000"/>
        </w:rPr>
      </w:pPr>
    </w:p>
    <w:p w14:paraId="0456473C" w14:textId="77777777" w:rsidR="003919F5" w:rsidRPr="009C4D1E" w:rsidRDefault="003919F5" w:rsidP="003919F5">
      <w:pPr>
        <w:spacing w:line="360" w:lineRule="auto"/>
        <w:jc w:val="center"/>
        <w:rPr>
          <w:rFonts w:ascii="Arial" w:hAnsi="Arial" w:cs="Arial"/>
          <w:color w:val="000000"/>
        </w:rPr>
      </w:pPr>
      <w:r w:rsidRPr="009C4D1E">
        <w:rPr>
          <w:rFonts w:ascii="Arial" w:hAnsi="Arial" w:cs="Arial"/>
          <w:noProof/>
          <w:color w:val="000000"/>
        </w:rPr>
        <w:drawing>
          <wp:inline distT="0" distB="0" distL="0" distR="0" wp14:anchorId="6DD42511" wp14:editId="7E9EE82B">
            <wp:extent cx="5612130" cy="1609090"/>
            <wp:effectExtent l="0" t="0" r="0" b="0"/>
            <wp:docPr id="1788488147" name="Imagen 2" descr="Imagen que contiene objeto, reloj, señal&#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8488147" name="Imagen 2" descr="Imagen que contiene objeto, reloj, señal&#10;&#10;Descripción generada automáticamente"/>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612130" cy="1609090"/>
                    </a:xfrm>
                    <a:prstGeom prst="rect">
                      <a:avLst/>
                    </a:prstGeom>
                    <a:noFill/>
                    <a:ln>
                      <a:noFill/>
                    </a:ln>
                  </pic:spPr>
                </pic:pic>
              </a:graphicData>
            </a:graphic>
          </wp:inline>
        </w:drawing>
      </w:r>
    </w:p>
    <w:p w14:paraId="7CF78111" w14:textId="77777777" w:rsidR="003919F5" w:rsidRDefault="003919F5" w:rsidP="003919F5">
      <w:pPr>
        <w:spacing w:line="360" w:lineRule="auto"/>
        <w:jc w:val="center"/>
        <w:rPr>
          <w:rFonts w:ascii="Arial" w:hAnsi="Arial" w:cs="Arial"/>
          <w:color w:val="000000"/>
        </w:rPr>
      </w:pPr>
    </w:p>
    <w:p w14:paraId="49143A82" w14:textId="30B244D1" w:rsidR="00022A50" w:rsidRPr="000E6048" w:rsidRDefault="003919F5" w:rsidP="000E6048">
      <w:pPr>
        <w:spacing w:line="360" w:lineRule="auto"/>
        <w:jc w:val="center"/>
        <w:rPr>
          <w:rFonts w:ascii="Arial" w:hAnsi="Arial" w:cs="Arial"/>
          <w:b/>
          <w:bCs/>
          <w:sz w:val="28"/>
          <w:szCs w:val="28"/>
        </w:rPr>
      </w:pPr>
      <w:r w:rsidRPr="00171C63">
        <w:rPr>
          <w:rFonts w:ascii="Arial" w:hAnsi="Arial" w:cs="Arial"/>
          <w:b/>
          <w:bCs/>
          <w:sz w:val="28"/>
          <w:szCs w:val="28"/>
        </w:rPr>
        <w:t>PROTOCOLO PARA LA PRESENTACIÓN Y ATENCIÓN DE DELACIONES DE LA UNIVERSIDAD TECNOLÓGICA DE LA RIVIERA MAYA</w:t>
      </w:r>
    </w:p>
    <w:p w14:paraId="55C14422" w14:textId="3CDE5AFC" w:rsidR="00022A50" w:rsidRPr="00171C63" w:rsidRDefault="00022A50" w:rsidP="00171C63">
      <w:pPr>
        <w:spacing w:line="360" w:lineRule="auto"/>
        <w:jc w:val="both"/>
        <w:rPr>
          <w:rFonts w:ascii="Arial" w:hAnsi="Arial" w:cs="Arial"/>
          <w:b/>
          <w:bCs/>
          <w:sz w:val="24"/>
          <w:szCs w:val="24"/>
        </w:rPr>
      </w:pPr>
      <w:r w:rsidRPr="00171C63">
        <w:rPr>
          <w:rFonts w:ascii="Arial" w:hAnsi="Arial" w:cs="Arial"/>
          <w:b/>
          <w:bCs/>
          <w:sz w:val="24"/>
          <w:szCs w:val="24"/>
        </w:rPr>
        <w:t>Objet</w:t>
      </w:r>
      <w:r w:rsidR="00666439" w:rsidRPr="00171C63">
        <w:rPr>
          <w:rFonts w:ascii="Arial" w:hAnsi="Arial" w:cs="Arial"/>
          <w:b/>
          <w:bCs/>
          <w:sz w:val="24"/>
          <w:szCs w:val="24"/>
        </w:rPr>
        <w:t>o</w:t>
      </w:r>
    </w:p>
    <w:p w14:paraId="196E93A8" w14:textId="2ADAAB95" w:rsidR="00666439" w:rsidRPr="00171C63" w:rsidRDefault="00666439" w:rsidP="00171C63">
      <w:pPr>
        <w:spacing w:line="360" w:lineRule="auto"/>
        <w:jc w:val="both"/>
        <w:rPr>
          <w:rFonts w:ascii="Arial" w:hAnsi="Arial" w:cs="Arial"/>
          <w:sz w:val="24"/>
          <w:szCs w:val="24"/>
        </w:rPr>
      </w:pPr>
      <w:r w:rsidRPr="00171C63">
        <w:rPr>
          <w:rFonts w:ascii="Arial" w:hAnsi="Arial" w:cs="Arial"/>
          <w:sz w:val="24"/>
          <w:szCs w:val="24"/>
        </w:rPr>
        <w:t xml:space="preserve"> El presente documento constituye el protocolo que </w:t>
      </w:r>
      <w:r w:rsidR="00171C63" w:rsidRPr="00171C63">
        <w:rPr>
          <w:rFonts w:ascii="Arial" w:hAnsi="Arial" w:cs="Arial"/>
          <w:sz w:val="24"/>
          <w:szCs w:val="24"/>
        </w:rPr>
        <w:t>seguirá</w:t>
      </w:r>
      <w:r w:rsidRPr="00171C63">
        <w:rPr>
          <w:rFonts w:ascii="Arial" w:hAnsi="Arial" w:cs="Arial"/>
          <w:sz w:val="24"/>
          <w:szCs w:val="24"/>
        </w:rPr>
        <w:t xml:space="preserve"> el Comité de Ética y Prevención de Conflictos de Interés de la Universidad Tecnológica de la Riviera Maya, el mismo se realizó con base a los artículos contenidos en el Capítulo VII de los Lineamientos para la Integración y Funcionamiento del Comité de Ética y Prevención de Conflicto de Interés de las Personas </w:t>
      </w:r>
      <w:r w:rsidR="00171C63" w:rsidRPr="00171C63">
        <w:rPr>
          <w:rFonts w:ascii="Arial" w:hAnsi="Arial" w:cs="Arial"/>
          <w:sz w:val="24"/>
          <w:szCs w:val="24"/>
        </w:rPr>
        <w:t>Servidora</w:t>
      </w:r>
      <w:r w:rsidR="00171C63">
        <w:rPr>
          <w:rFonts w:ascii="Arial" w:hAnsi="Arial" w:cs="Arial"/>
          <w:sz w:val="24"/>
          <w:szCs w:val="24"/>
        </w:rPr>
        <w:t>s</w:t>
      </w:r>
      <w:r w:rsidRPr="00171C63">
        <w:rPr>
          <w:rFonts w:ascii="Arial" w:hAnsi="Arial" w:cs="Arial"/>
          <w:sz w:val="24"/>
          <w:szCs w:val="24"/>
        </w:rPr>
        <w:t xml:space="preserve"> Públicas de las Dependencias y Entidades de la </w:t>
      </w:r>
      <w:r w:rsidR="00171C63" w:rsidRPr="00171C63">
        <w:rPr>
          <w:rFonts w:ascii="Arial" w:hAnsi="Arial" w:cs="Arial"/>
          <w:sz w:val="24"/>
          <w:szCs w:val="24"/>
        </w:rPr>
        <w:t>Administración</w:t>
      </w:r>
      <w:r w:rsidRPr="00171C63">
        <w:rPr>
          <w:rFonts w:ascii="Arial" w:hAnsi="Arial" w:cs="Arial"/>
          <w:sz w:val="24"/>
          <w:szCs w:val="24"/>
        </w:rPr>
        <w:t xml:space="preserve"> Pública del Poder Ejecutivo publicado en el Periódico Oficial del Gobierno del Estado de Quintana Roo el cinco de diciembre de dos mil diecinueve. </w:t>
      </w:r>
    </w:p>
    <w:p w14:paraId="297EC228" w14:textId="77777777" w:rsidR="00666439" w:rsidRDefault="00666439" w:rsidP="00022A50">
      <w:pPr>
        <w:jc w:val="both"/>
      </w:pPr>
    </w:p>
    <w:p w14:paraId="21965CC9" w14:textId="7F579771" w:rsidR="00666439" w:rsidRPr="00171C63" w:rsidRDefault="00666439" w:rsidP="00171C63">
      <w:pPr>
        <w:spacing w:line="360" w:lineRule="auto"/>
        <w:jc w:val="both"/>
        <w:rPr>
          <w:rFonts w:ascii="Arial" w:hAnsi="Arial" w:cs="Arial"/>
          <w:b/>
          <w:bCs/>
          <w:sz w:val="24"/>
          <w:szCs w:val="24"/>
        </w:rPr>
      </w:pPr>
      <w:r w:rsidRPr="00171C63">
        <w:rPr>
          <w:rFonts w:ascii="Arial" w:hAnsi="Arial" w:cs="Arial"/>
          <w:b/>
          <w:bCs/>
          <w:sz w:val="24"/>
          <w:szCs w:val="24"/>
        </w:rPr>
        <w:t>Glosario</w:t>
      </w:r>
    </w:p>
    <w:p w14:paraId="5E079FC8" w14:textId="77777777" w:rsidR="00666439" w:rsidRPr="00171C63" w:rsidRDefault="00666439" w:rsidP="00171C63">
      <w:pPr>
        <w:spacing w:line="360" w:lineRule="auto"/>
        <w:jc w:val="both"/>
        <w:rPr>
          <w:rFonts w:ascii="Arial" w:hAnsi="Arial" w:cs="Arial"/>
          <w:sz w:val="24"/>
          <w:szCs w:val="24"/>
        </w:rPr>
      </w:pPr>
      <w:r w:rsidRPr="00171C63">
        <w:rPr>
          <w:rFonts w:ascii="Arial" w:hAnsi="Arial" w:cs="Arial"/>
          <w:i/>
          <w:iCs/>
          <w:sz w:val="24"/>
          <w:szCs w:val="24"/>
        </w:rPr>
        <w:t>Acuerdo</w:t>
      </w:r>
      <w:r w:rsidRPr="00171C63">
        <w:rPr>
          <w:rFonts w:ascii="Arial" w:hAnsi="Arial" w:cs="Arial"/>
          <w:sz w:val="24"/>
          <w:szCs w:val="24"/>
        </w:rPr>
        <w:t>- Acuerdo por el que se expide el Código de Ética, el Código de Conducta y las Reglas de Integridad para el ejercicio de la Función Pública para propiciar la integridad de las personas servidoras públicas y para implementar acciones permanentes que favorezcan su comportamiento ético, a través de los Comités de Ética y Prevención de Conflictos de Interés</w:t>
      </w:r>
    </w:p>
    <w:p w14:paraId="6DE4F084" w14:textId="77777777" w:rsidR="00666439" w:rsidRPr="00171C63" w:rsidRDefault="00666439" w:rsidP="00171C63">
      <w:pPr>
        <w:spacing w:line="360" w:lineRule="auto"/>
        <w:jc w:val="both"/>
        <w:rPr>
          <w:rFonts w:ascii="Arial" w:hAnsi="Arial" w:cs="Arial"/>
          <w:sz w:val="24"/>
          <w:szCs w:val="24"/>
        </w:rPr>
      </w:pPr>
      <w:r w:rsidRPr="00171C63">
        <w:rPr>
          <w:rFonts w:ascii="Arial" w:hAnsi="Arial" w:cs="Arial"/>
          <w:i/>
          <w:iCs/>
          <w:sz w:val="24"/>
          <w:szCs w:val="24"/>
        </w:rPr>
        <w:lastRenderedPageBreak/>
        <w:t>Código de Conducta</w:t>
      </w:r>
      <w:r w:rsidRPr="00171C63">
        <w:rPr>
          <w:rFonts w:ascii="Arial" w:hAnsi="Arial" w:cs="Arial"/>
          <w:sz w:val="24"/>
          <w:szCs w:val="24"/>
        </w:rPr>
        <w:t>- El instrumento emitido por el Titular de la Dependencia propuesta de su correspondiente Comité de Ética y Prevención de Conflictos de Interés para regular la actuación de las personas servidoras públicas adscritas a la Institución.</w:t>
      </w:r>
    </w:p>
    <w:p w14:paraId="3F710BEB" w14:textId="77777777" w:rsidR="00666439" w:rsidRPr="00171C63" w:rsidRDefault="00666439" w:rsidP="00171C63">
      <w:pPr>
        <w:spacing w:line="360" w:lineRule="auto"/>
        <w:jc w:val="both"/>
        <w:rPr>
          <w:rFonts w:ascii="Arial" w:hAnsi="Arial" w:cs="Arial"/>
          <w:sz w:val="24"/>
          <w:szCs w:val="24"/>
        </w:rPr>
      </w:pPr>
      <w:r w:rsidRPr="00171C63">
        <w:rPr>
          <w:rFonts w:ascii="Arial" w:hAnsi="Arial" w:cs="Arial"/>
          <w:i/>
          <w:iCs/>
          <w:sz w:val="24"/>
          <w:szCs w:val="24"/>
        </w:rPr>
        <w:t>COCODI-</w:t>
      </w:r>
      <w:r w:rsidRPr="00171C63">
        <w:rPr>
          <w:rFonts w:ascii="Arial" w:hAnsi="Arial" w:cs="Arial"/>
          <w:sz w:val="24"/>
          <w:szCs w:val="24"/>
        </w:rPr>
        <w:t xml:space="preserve"> Comité de Control y Desempeño Institucional</w:t>
      </w:r>
    </w:p>
    <w:p w14:paraId="30CFD163" w14:textId="77777777" w:rsidR="00666439" w:rsidRPr="00171C63" w:rsidRDefault="00666439" w:rsidP="00171C63">
      <w:pPr>
        <w:spacing w:line="360" w:lineRule="auto"/>
        <w:jc w:val="both"/>
        <w:rPr>
          <w:rFonts w:ascii="Arial" w:hAnsi="Arial" w:cs="Arial"/>
          <w:sz w:val="24"/>
          <w:szCs w:val="24"/>
        </w:rPr>
      </w:pPr>
      <w:r w:rsidRPr="00171C63">
        <w:rPr>
          <w:rFonts w:ascii="Arial" w:hAnsi="Arial" w:cs="Arial"/>
          <w:i/>
          <w:iCs/>
          <w:sz w:val="24"/>
          <w:szCs w:val="24"/>
        </w:rPr>
        <w:t>Código de Ética</w:t>
      </w:r>
      <w:r w:rsidRPr="00171C63">
        <w:rPr>
          <w:rFonts w:ascii="Arial" w:hAnsi="Arial" w:cs="Arial"/>
          <w:sz w:val="24"/>
          <w:szCs w:val="24"/>
        </w:rPr>
        <w:t xml:space="preserve">- Al Código de Ética de las personas servidores públicas de las Dependencias y Entidades de la Administración Pública del Poder Ejecutivo a que se refiere el artículo 16 de la Ley Genera de Responsabilidades Administrativas. </w:t>
      </w:r>
    </w:p>
    <w:p w14:paraId="1A251FF2" w14:textId="77777777" w:rsidR="00666439" w:rsidRPr="00171C63" w:rsidRDefault="00666439" w:rsidP="00171C63">
      <w:pPr>
        <w:spacing w:line="360" w:lineRule="auto"/>
        <w:jc w:val="both"/>
        <w:rPr>
          <w:rFonts w:ascii="Arial" w:hAnsi="Arial" w:cs="Arial"/>
          <w:sz w:val="24"/>
          <w:szCs w:val="24"/>
        </w:rPr>
      </w:pPr>
      <w:r w:rsidRPr="00171C63">
        <w:rPr>
          <w:rFonts w:ascii="Arial" w:hAnsi="Arial" w:cs="Arial"/>
          <w:i/>
          <w:iCs/>
          <w:sz w:val="24"/>
          <w:szCs w:val="24"/>
        </w:rPr>
        <w:t>COEPCI-</w:t>
      </w:r>
      <w:r w:rsidRPr="00171C63">
        <w:rPr>
          <w:rFonts w:ascii="Arial" w:hAnsi="Arial" w:cs="Arial"/>
          <w:sz w:val="24"/>
          <w:szCs w:val="24"/>
        </w:rPr>
        <w:t xml:space="preserve"> Comité de Ética y Prevención de Conflictos de Interés</w:t>
      </w:r>
    </w:p>
    <w:p w14:paraId="3D762CFD" w14:textId="77777777" w:rsidR="00666439" w:rsidRPr="00171C63" w:rsidRDefault="00666439" w:rsidP="00171C63">
      <w:pPr>
        <w:spacing w:line="360" w:lineRule="auto"/>
        <w:jc w:val="both"/>
        <w:rPr>
          <w:rFonts w:ascii="Arial" w:hAnsi="Arial" w:cs="Arial"/>
          <w:sz w:val="24"/>
          <w:szCs w:val="24"/>
        </w:rPr>
      </w:pPr>
      <w:r w:rsidRPr="00171C63">
        <w:rPr>
          <w:rFonts w:ascii="Arial" w:hAnsi="Arial" w:cs="Arial"/>
          <w:i/>
          <w:iCs/>
          <w:sz w:val="24"/>
          <w:szCs w:val="24"/>
        </w:rPr>
        <w:t>Comité-</w:t>
      </w:r>
      <w:r w:rsidRPr="00171C63">
        <w:rPr>
          <w:rFonts w:ascii="Arial" w:hAnsi="Arial" w:cs="Arial"/>
          <w:sz w:val="24"/>
          <w:szCs w:val="24"/>
        </w:rPr>
        <w:t xml:space="preserve"> El Comité de Ética y de Prevención de Conflictos de Interés de la dependencia.</w:t>
      </w:r>
    </w:p>
    <w:p w14:paraId="79A8BC73" w14:textId="507A2F26" w:rsidR="00666439" w:rsidRPr="00171C63" w:rsidRDefault="00666439" w:rsidP="00171C63">
      <w:pPr>
        <w:spacing w:line="360" w:lineRule="auto"/>
        <w:jc w:val="both"/>
        <w:rPr>
          <w:rFonts w:ascii="Arial" w:hAnsi="Arial" w:cs="Arial"/>
          <w:sz w:val="24"/>
          <w:szCs w:val="24"/>
        </w:rPr>
      </w:pPr>
      <w:r w:rsidRPr="00171C63">
        <w:rPr>
          <w:rFonts w:ascii="Arial" w:hAnsi="Arial" w:cs="Arial"/>
          <w:i/>
          <w:iCs/>
          <w:sz w:val="24"/>
          <w:szCs w:val="24"/>
        </w:rPr>
        <w:t>Conflicto de Interés</w:t>
      </w:r>
      <w:r w:rsidRPr="00171C63">
        <w:rPr>
          <w:rFonts w:ascii="Arial" w:hAnsi="Arial" w:cs="Arial"/>
          <w:sz w:val="24"/>
          <w:szCs w:val="24"/>
        </w:rPr>
        <w:t xml:space="preserve">: La posible afectación del desempeño imparcial y objetivo de las funciones de los servidores públicos </w:t>
      </w:r>
      <w:r w:rsidR="00FC38BA" w:rsidRPr="00171C63">
        <w:rPr>
          <w:rFonts w:ascii="Arial" w:hAnsi="Arial" w:cs="Arial"/>
          <w:sz w:val="24"/>
          <w:szCs w:val="24"/>
        </w:rPr>
        <w:t>debido a</w:t>
      </w:r>
      <w:r w:rsidRPr="00171C63">
        <w:rPr>
          <w:rFonts w:ascii="Arial" w:hAnsi="Arial" w:cs="Arial"/>
          <w:sz w:val="24"/>
          <w:szCs w:val="24"/>
        </w:rPr>
        <w:t xml:space="preserve"> los interese personales, familiares o de negocios.</w:t>
      </w:r>
    </w:p>
    <w:p w14:paraId="4D09A796" w14:textId="481DE616" w:rsidR="00666439" w:rsidRPr="00171C63" w:rsidRDefault="00666439" w:rsidP="00171C63">
      <w:pPr>
        <w:spacing w:line="360" w:lineRule="auto"/>
        <w:jc w:val="both"/>
        <w:rPr>
          <w:rFonts w:ascii="Arial" w:hAnsi="Arial" w:cs="Arial"/>
          <w:sz w:val="24"/>
          <w:szCs w:val="24"/>
        </w:rPr>
      </w:pPr>
      <w:r w:rsidRPr="00171C63">
        <w:rPr>
          <w:rFonts w:ascii="Arial" w:hAnsi="Arial" w:cs="Arial"/>
          <w:i/>
          <w:iCs/>
          <w:sz w:val="24"/>
          <w:szCs w:val="24"/>
        </w:rPr>
        <w:t>Delación</w:t>
      </w:r>
      <w:r w:rsidRPr="00171C63">
        <w:rPr>
          <w:rFonts w:ascii="Arial" w:hAnsi="Arial" w:cs="Arial"/>
          <w:sz w:val="24"/>
          <w:szCs w:val="24"/>
        </w:rPr>
        <w:t xml:space="preserve">: La narrativa que formula </w:t>
      </w:r>
      <w:r w:rsidR="00FC38BA" w:rsidRPr="00171C63">
        <w:rPr>
          <w:rFonts w:ascii="Arial" w:hAnsi="Arial" w:cs="Arial"/>
          <w:sz w:val="24"/>
          <w:szCs w:val="24"/>
        </w:rPr>
        <w:t>cualquier</w:t>
      </w:r>
      <w:r w:rsidRPr="00171C63">
        <w:rPr>
          <w:rFonts w:ascii="Arial" w:hAnsi="Arial" w:cs="Arial"/>
          <w:sz w:val="24"/>
          <w:szCs w:val="24"/>
        </w:rPr>
        <w:t xml:space="preserve"> persona sobre un hecho o conducta atribuida a un servidor público y que </w:t>
      </w:r>
      <w:r w:rsidR="00FC38BA" w:rsidRPr="00171C63">
        <w:rPr>
          <w:rFonts w:ascii="Arial" w:hAnsi="Arial" w:cs="Arial"/>
          <w:sz w:val="24"/>
          <w:szCs w:val="24"/>
        </w:rPr>
        <w:t>resulta</w:t>
      </w:r>
      <w:r w:rsidRPr="00171C63">
        <w:rPr>
          <w:rFonts w:ascii="Arial" w:hAnsi="Arial" w:cs="Arial"/>
          <w:sz w:val="24"/>
          <w:szCs w:val="24"/>
        </w:rPr>
        <w:t xml:space="preserve"> </w:t>
      </w:r>
      <w:r w:rsidR="00FC38BA" w:rsidRPr="00171C63">
        <w:rPr>
          <w:rFonts w:ascii="Arial" w:hAnsi="Arial" w:cs="Arial"/>
          <w:sz w:val="24"/>
          <w:szCs w:val="24"/>
        </w:rPr>
        <w:t>presuntamente</w:t>
      </w:r>
      <w:r w:rsidRPr="00171C63">
        <w:rPr>
          <w:rFonts w:ascii="Arial" w:hAnsi="Arial" w:cs="Arial"/>
          <w:sz w:val="24"/>
          <w:szCs w:val="24"/>
        </w:rPr>
        <w:t xml:space="preserve"> contraría al Código de Ética, </w:t>
      </w:r>
      <w:r w:rsidR="00FC38BA" w:rsidRPr="00171C63">
        <w:rPr>
          <w:rFonts w:ascii="Arial" w:hAnsi="Arial" w:cs="Arial"/>
          <w:sz w:val="24"/>
          <w:szCs w:val="24"/>
        </w:rPr>
        <w:t>Código</w:t>
      </w:r>
      <w:r w:rsidRPr="00171C63">
        <w:rPr>
          <w:rFonts w:ascii="Arial" w:hAnsi="Arial" w:cs="Arial"/>
          <w:sz w:val="24"/>
          <w:szCs w:val="24"/>
        </w:rPr>
        <w:t xml:space="preserve"> de Conducta y a las Reglas de Integridad. </w:t>
      </w:r>
    </w:p>
    <w:p w14:paraId="0A48DF5F" w14:textId="128B3C2E" w:rsidR="00666439" w:rsidRPr="00171C63" w:rsidRDefault="00666439" w:rsidP="00171C63">
      <w:pPr>
        <w:spacing w:line="360" w:lineRule="auto"/>
        <w:jc w:val="both"/>
        <w:rPr>
          <w:rFonts w:ascii="Arial" w:hAnsi="Arial" w:cs="Arial"/>
          <w:sz w:val="24"/>
          <w:szCs w:val="24"/>
        </w:rPr>
      </w:pPr>
      <w:r w:rsidRPr="00171C63">
        <w:rPr>
          <w:rFonts w:ascii="Arial" w:hAnsi="Arial" w:cs="Arial"/>
          <w:i/>
          <w:iCs/>
          <w:sz w:val="24"/>
          <w:szCs w:val="24"/>
        </w:rPr>
        <w:t>Integridad.</w:t>
      </w:r>
      <w:r w:rsidRPr="00171C63">
        <w:rPr>
          <w:rFonts w:ascii="Arial" w:hAnsi="Arial" w:cs="Arial"/>
          <w:sz w:val="24"/>
          <w:szCs w:val="24"/>
        </w:rPr>
        <w:t xml:space="preserve"> Se refiere a las conductas y acciones coherentes con una serie de normas y principios morales y éticos </w:t>
      </w:r>
      <w:r w:rsidR="00FC38BA" w:rsidRPr="00171C63">
        <w:rPr>
          <w:rFonts w:ascii="Arial" w:hAnsi="Arial" w:cs="Arial"/>
          <w:sz w:val="24"/>
          <w:szCs w:val="24"/>
        </w:rPr>
        <w:t>adoptados</w:t>
      </w:r>
      <w:r w:rsidRPr="00171C63">
        <w:rPr>
          <w:rFonts w:ascii="Arial" w:hAnsi="Arial" w:cs="Arial"/>
          <w:sz w:val="24"/>
          <w:szCs w:val="24"/>
        </w:rPr>
        <w:t xml:space="preserve"> por personas al igual que instituciones que operan como una barrera contra la corrupción. </w:t>
      </w:r>
    </w:p>
    <w:p w14:paraId="04CA9F87" w14:textId="07AE77CB" w:rsidR="00FC38BA" w:rsidRPr="00171C63" w:rsidRDefault="00FC38BA" w:rsidP="00171C63">
      <w:pPr>
        <w:spacing w:line="360" w:lineRule="auto"/>
        <w:jc w:val="both"/>
        <w:rPr>
          <w:rFonts w:ascii="Arial" w:hAnsi="Arial" w:cs="Arial"/>
          <w:sz w:val="24"/>
          <w:szCs w:val="24"/>
        </w:rPr>
      </w:pPr>
      <w:r w:rsidRPr="00171C63">
        <w:rPr>
          <w:rFonts w:ascii="Arial" w:hAnsi="Arial" w:cs="Arial"/>
          <w:i/>
          <w:iCs/>
          <w:sz w:val="24"/>
          <w:szCs w:val="24"/>
        </w:rPr>
        <w:t>Promovente</w:t>
      </w:r>
      <w:r w:rsidRPr="00171C63">
        <w:rPr>
          <w:rFonts w:ascii="Arial" w:hAnsi="Arial" w:cs="Arial"/>
          <w:sz w:val="24"/>
          <w:szCs w:val="24"/>
        </w:rPr>
        <w:t>. Persona que presenta una delación.</w:t>
      </w:r>
    </w:p>
    <w:p w14:paraId="34462A78" w14:textId="7520ED09" w:rsidR="00666439" w:rsidRPr="00171C63" w:rsidRDefault="00666439" w:rsidP="00171C63">
      <w:pPr>
        <w:spacing w:line="360" w:lineRule="auto"/>
        <w:jc w:val="both"/>
        <w:rPr>
          <w:rFonts w:ascii="Arial" w:hAnsi="Arial" w:cs="Arial"/>
          <w:sz w:val="24"/>
          <w:szCs w:val="24"/>
        </w:rPr>
      </w:pPr>
      <w:r w:rsidRPr="00171C63">
        <w:rPr>
          <w:rFonts w:ascii="Arial" w:hAnsi="Arial" w:cs="Arial"/>
          <w:i/>
          <w:iCs/>
          <w:sz w:val="24"/>
          <w:szCs w:val="24"/>
        </w:rPr>
        <w:t>Reglas de Integridad</w:t>
      </w:r>
      <w:r w:rsidRPr="00171C63">
        <w:rPr>
          <w:rFonts w:ascii="Arial" w:hAnsi="Arial" w:cs="Arial"/>
          <w:sz w:val="24"/>
          <w:szCs w:val="24"/>
        </w:rPr>
        <w:t xml:space="preserve">: Las reglas de integridad contenidas en el Código de Ética, </w:t>
      </w:r>
      <w:r w:rsidR="00171C63" w:rsidRPr="00171C63">
        <w:rPr>
          <w:rFonts w:ascii="Arial" w:hAnsi="Arial" w:cs="Arial"/>
          <w:sz w:val="24"/>
          <w:szCs w:val="24"/>
        </w:rPr>
        <w:t>emitido</w:t>
      </w:r>
      <w:r w:rsidRPr="00171C63">
        <w:rPr>
          <w:rFonts w:ascii="Arial" w:hAnsi="Arial" w:cs="Arial"/>
          <w:sz w:val="24"/>
          <w:szCs w:val="24"/>
        </w:rPr>
        <w:t xml:space="preserve"> por la Secretaría de la Contraloría, las cuales estableces </w:t>
      </w:r>
      <w:r w:rsidR="00171C63" w:rsidRPr="00171C63">
        <w:rPr>
          <w:rFonts w:ascii="Arial" w:hAnsi="Arial" w:cs="Arial"/>
          <w:sz w:val="24"/>
          <w:szCs w:val="24"/>
        </w:rPr>
        <w:t>patrones</w:t>
      </w:r>
      <w:r w:rsidRPr="00171C63">
        <w:rPr>
          <w:rFonts w:ascii="Arial" w:hAnsi="Arial" w:cs="Arial"/>
          <w:sz w:val="24"/>
          <w:szCs w:val="24"/>
        </w:rPr>
        <w:t xml:space="preserve"> de conducta óptimos en los diversos ámbitos de la administración que reflejan el adecuado comportamiento ético y dan certeza de la orientación de los servidores públicos</w:t>
      </w:r>
    </w:p>
    <w:p w14:paraId="14EB9A48" w14:textId="77777777" w:rsidR="00666439" w:rsidRPr="00171C63" w:rsidRDefault="00666439" w:rsidP="00171C63">
      <w:pPr>
        <w:spacing w:line="360" w:lineRule="auto"/>
        <w:jc w:val="both"/>
        <w:rPr>
          <w:rFonts w:ascii="Arial" w:hAnsi="Arial" w:cs="Arial"/>
          <w:sz w:val="24"/>
          <w:szCs w:val="24"/>
        </w:rPr>
      </w:pPr>
      <w:r w:rsidRPr="00171C63">
        <w:rPr>
          <w:rFonts w:ascii="Arial" w:hAnsi="Arial" w:cs="Arial"/>
          <w:i/>
          <w:iCs/>
          <w:sz w:val="24"/>
          <w:szCs w:val="24"/>
        </w:rPr>
        <w:lastRenderedPageBreak/>
        <w:t>Riesgo ético</w:t>
      </w:r>
      <w:r w:rsidRPr="00171C63">
        <w:rPr>
          <w:rFonts w:ascii="Arial" w:hAnsi="Arial" w:cs="Arial"/>
          <w:sz w:val="24"/>
          <w:szCs w:val="24"/>
        </w:rPr>
        <w:t xml:space="preserve">- Cualquier situación en las que potencialmente pudieran transgredirse principios, valores o reglas de integridad. </w:t>
      </w:r>
    </w:p>
    <w:p w14:paraId="00F62A5C" w14:textId="77777777" w:rsidR="00666439" w:rsidRPr="00171C63" w:rsidRDefault="00666439" w:rsidP="00171C63">
      <w:pPr>
        <w:spacing w:line="360" w:lineRule="auto"/>
        <w:jc w:val="both"/>
        <w:rPr>
          <w:rFonts w:ascii="Arial" w:hAnsi="Arial" w:cs="Arial"/>
          <w:sz w:val="24"/>
          <w:szCs w:val="24"/>
        </w:rPr>
      </w:pPr>
      <w:r w:rsidRPr="00171C63">
        <w:rPr>
          <w:rFonts w:ascii="Arial" w:hAnsi="Arial" w:cs="Arial"/>
          <w:i/>
          <w:iCs/>
          <w:sz w:val="24"/>
          <w:szCs w:val="24"/>
        </w:rPr>
        <w:t>UTRM-</w:t>
      </w:r>
      <w:r w:rsidRPr="00171C63">
        <w:rPr>
          <w:rFonts w:ascii="Arial" w:hAnsi="Arial" w:cs="Arial"/>
          <w:sz w:val="24"/>
          <w:szCs w:val="24"/>
        </w:rPr>
        <w:t xml:space="preserve"> Universidad Tecnológica de la Riviera Maya</w:t>
      </w:r>
    </w:p>
    <w:p w14:paraId="644AF394" w14:textId="5936FAF8" w:rsidR="00666439" w:rsidRPr="00B530CE" w:rsidRDefault="00666439" w:rsidP="00B530CE">
      <w:pPr>
        <w:jc w:val="center"/>
        <w:rPr>
          <w:rFonts w:ascii="Arial" w:hAnsi="Arial" w:cs="Arial"/>
          <w:b/>
          <w:bCs/>
          <w:sz w:val="24"/>
          <w:szCs w:val="24"/>
        </w:rPr>
      </w:pPr>
      <w:r w:rsidRPr="00B530CE">
        <w:rPr>
          <w:rFonts w:ascii="Arial" w:hAnsi="Arial" w:cs="Arial"/>
          <w:b/>
          <w:bCs/>
          <w:sz w:val="24"/>
          <w:szCs w:val="24"/>
        </w:rPr>
        <w:t>PROCEDIMIENTO PARA LA PRESENTACIÓN Y ATENCIÓN DE DELACIONES</w:t>
      </w:r>
    </w:p>
    <w:p w14:paraId="190FD8E1" w14:textId="77777777" w:rsidR="00B530CE" w:rsidRDefault="00B530CE" w:rsidP="00022A50">
      <w:pPr>
        <w:jc w:val="both"/>
        <w:rPr>
          <w:rFonts w:ascii="Arial" w:hAnsi="Arial" w:cs="Arial"/>
          <w:sz w:val="24"/>
          <w:szCs w:val="24"/>
        </w:rPr>
      </w:pPr>
    </w:p>
    <w:p w14:paraId="111708AC" w14:textId="17FE7D0B" w:rsidR="00666439" w:rsidRPr="00171C63" w:rsidRDefault="00666439" w:rsidP="00022A50">
      <w:pPr>
        <w:jc w:val="both"/>
        <w:rPr>
          <w:rFonts w:ascii="Arial" w:hAnsi="Arial" w:cs="Arial"/>
          <w:b/>
          <w:bCs/>
          <w:sz w:val="24"/>
          <w:szCs w:val="24"/>
        </w:rPr>
      </w:pPr>
      <w:r w:rsidRPr="00171C63">
        <w:rPr>
          <w:rFonts w:ascii="Arial" w:hAnsi="Arial" w:cs="Arial"/>
          <w:b/>
          <w:bCs/>
          <w:sz w:val="24"/>
          <w:szCs w:val="24"/>
        </w:rPr>
        <w:t>Medios de captación</w:t>
      </w:r>
    </w:p>
    <w:p w14:paraId="5BBA134E" w14:textId="0FFE6453" w:rsidR="00666439" w:rsidRPr="00FF2747" w:rsidRDefault="00666439" w:rsidP="00171C63">
      <w:pPr>
        <w:spacing w:line="360" w:lineRule="auto"/>
        <w:jc w:val="both"/>
        <w:rPr>
          <w:rFonts w:ascii="Arial" w:hAnsi="Arial" w:cs="Arial"/>
          <w:sz w:val="24"/>
          <w:szCs w:val="24"/>
        </w:rPr>
      </w:pPr>
      <w:r w:rsidRPr="00FF2747">
        <w:rPr>
          <w:rFonts w:ascii="Arial" w:hAnsi="Arial" w:cs="Arial"/>
          <w:sz w:val="24"/>
          <w:szCs w:val="24"/>
        </w:rPr>
        <w:t>El COEPCI podrá captar las delaciones a través de los siguientes mecanismos:</w:t>
      </w:r>
    </w:p>
    <w:p w14:paraId="2858651E" w14:textId="26DCB03E" w:rsidR="00666439" w:rsidRDefault="00666439" w:rsidP="00171C63">
      <w:pPr>
        <w:pStyle w:val="Prrafodelista"/>
        <w:numPr>
          <w:ilvl w:val="0"/>
          <w:numId w:val="1"/>
        </w:numPr>
        <w:spacing w:line="360" w:lineRule="auto"/>
        <w:jc w:val="both"/>
      </w:pPr>
      <w:r w:rsidRPr="00FF2747">
        <w:rPr>
          <w:rFonts w:ascii="Arial" w:hAnsi="Arial" w:cs="Arial"/>
          <w:sz w:val="24"/>
          <w:szCs w:val="24"/>
        </w:rPr>
        <w:t>Mediante correo electrónico. Se podrá realizar a través de la cuenta</w:t>
      </w:r>
      <w:r>
        <w:t xml:space="preserve"> </w:t>
      </w:r>
      <w:hyperlink r:id="rId8" w:history="1">
        <w:r w:rsidRPr="009F1198">
          <w:rPr>
            <w:rStyle w:val="Hipervnculo"/>
          </w:rPr>
          <w:t>comite.etica@utrivieramaya.edu.mx</w:t>
        </w:r>
      </w:hyperlink>
    </w:p>
    <w:p w14:paraId="776C3211" w14:textId="0AFA3860" w:rsidR="00FF2747" w:rsidRPr="00FF2747" w:rsidRDefault="00666439" w:rsidP="00171C63">
      <w:pPr>
        <w:pStyle w:val="Prrafodelista"/>
        <w:numPr>
          <w:ilvl w:val="0"/>
          <w:numId w:val="1"/>
        </w:numPr>
        <w:spacing w:line="360" w:lineRule="auto"/>
        <w:jc w:val="both"/>
        <w:rPr>
          <w:rFonts w:ascii="Arial" w:hAnsi="Arial" w:cs="Arial"/>
          <w:sz w:val="24"/>
          <w:szCs w:val="24"/>
        </w:rPr>
      </w:pPr>
      <w:r w:rsidRPr="00FF2747">
        <w:rPr>
          <w:rFonts w:ascii="Arial" w:hAnsi="Arial" w:cs="Arial"/>
          <w:sz w:val="24"/>
          <w:szCs w:val="24"/>
        </w:rPr>
        <w:t>Mediante buzones</w:t>
      </w:r>
      <w:r w:rsidR="00FF2747" w:rsidRPr="00FF2747">
        <w:rPr>
          <w:rFonts w:ascii="Arial" w:hAnsi="Arial" w:cs="Arial"/>
          <w:sz w:val="24"/>
          <w:szCs w:val="24"/>
        </w:rPr>
        <w:t xml:space="preserve">. La UTRM cuenta con tres buzones ubicados cerca de los relojes checadores en los edificios “C”, “L” y “D”. Estos buzones se encuentran en responsabilidad de una persona integrante del COEPCI designada para tal efecto, quién tendrá la obligación de monitorear de forma permanente dichos buzones, actuando con la debida confidencialidad conforme al compromiso suscrito para tal efecto, enviando la delación a la persona que ocupa la Secretaría Ejecutiva del Comité, en sobre cerrado, al día hábil siguiente de la verificación del buzón, atendiendo el principio de agilidad y pronta atención. </w:t>
      </w:r>
    </w:p>
    <w:p w14:paraId="1E5BDDD5" w14:textId="01FA5C82" w:rsidR="00FF2747" w:rsidRPr="00B530CE" w:rsidRDefault="00FF2747" w:rsidP="00FF2747">
      <w:pPr>
        <w:jc w:val="both"/>
        <w:rPr>
          <w:b/>
          <w:bCs/>
        </w:rPr>
      </w:pPr>
      <w:r w:rsidRPr="00B530CE">
        <w:rPr>
          <w:rFonts w:ascii="Arial" w:hAnsi="Arial" w:cs="Arial"/>
          <w:b/>
          <w:bCs/>
          <w:sz w:val="24"/>
          <w:szCs w:val="24"/>
        </w:rPr>
        <w:t>Requisitos para la presentación de una delación</w:t>
      </w:r>
      <w:r w:rsidRPr="00B530CE">
        <w:rPr>
          <w:b/>
          <w:bCs/>
        </w:rPr>
        <w:t xml:space="preserve"> </w:t>
      </w:r>
    </w:p>
    <w:p w14:paraId="419E3A6C" w14:textId="64E9474C" w:rsidR="00FF2747" w:rsidRPr="00171C63" w:rsidRDefault="00FF2747" w:rsidP="00171C63">
      <w:pPr>
        <w:pStyle w:val="Prrafodelista"/>
        <w:numPr>
          <w:ilvl w:val="0"/>
          <w:numId w:val="2"/>
        </w:numPr>
        <w:spacing w:line="360" w:lineRule="auto"/>
        <w:jc w:val="both"/>
        <w:rPr>
          <w:rFonts w:ascii="Arial" w:hAnsi="Arial" w:cs="Arial"/>
          <w:sz w:val="24"/>
          <w:szCs w:val="24"/>
        </w:rPr>
      </w:pPr>
      <w:r w:rsidRPr="00171C63">
        <w:rPr>
          <w:rFonts w:ascii="Arial" w:hAnsi="Arial" w:cs="Arial"/>
          <w:sz w:val="24"/>
          <w:szCs w:val="24"/>
        </w:rPr>
        <w:t>Nombre (opcional)</w:t>
      </w:r>
    </w:p>
    <w:p w14:paraId="7F36B444" w14:textId="19E9B1A9" w:rsidR="00FF2747" w:rsidRPr="00171C63" w:rsidRDefault="00FF2747" w:rsidP="00171C63">
      <w:pPr>
        <w:pStyle w:val="Prrafodelista"/>
        <w:numPr>
          <w:ilvl w:val="0"/>
          <w:numId w:val="2"/>
        </w:numPr>
        <w:spacing w:line="360" w:lineRule="auto"/>
        <w:jc w:val="both"/>
        <w:rPr>
          <w:rFonts w:ascii="Arial" w:hAnsi="Arial" w:cs="Arial"/>
          <w:sz w:val="24"/>
          <w:szCs w:val="24"/>
        </w:rPr>
      </w:pPr>
      <w:r w:rsidRPr="00171C63">
        <w:rPr>
          <w:rFonts w:ascii="Arial" w:hAnsi="Arial" w:cs="Arial"/>
          <w:sz w:val="24"/>
          <w:szCs w:val="24"/>
        </w:rPr>
        <w:t xml:space="preserve">Domicilio o dirección electrónica para recibir informes </w:t>
      </w:r>
    </w:p>
    <w:p w14:paraId="6B594247" w14:textId="04094DC0" w:rsidR="00FF2747" w:rsidRPr="00171C63" w:rsidRDefault="00FF2747" w:rsidP="00171C63">
      <w:pPr>
        <w:pStyle w:val="Prrafodelista"/>
        <w:numPr>
          <w:ilvl w:val="0"/>
          <w:numId w:val="2"/>
        </w:numPr>
        <w:spacing w:line="360" w:lineRule="auto"/>
        <w:jc w:val="both"/>
        <w:rPr>
          <w:rFonts w:ascii="Arial" w:hAnsi="Arial" w:cs="Arial"/>
          <w:sz w:val="24"/>
          <w:szCs w:val="24"/>
        </w:rPr>
      </w:pPr>
      <w:r w:rsidRPr="00171C63">
        <w:rPr>
          <w:rFonts w:ascii="Arial" w:hAnsi="Arial" w:cs="Arial"/>
          <w:sz w:val="24"/>
          <w:szCs w:val="24"/>
        </w:rPr>
        <w:t>Breve relato de los hechos</w:t>
      </w:r>
    </w:p>
    <w:p w14:paraId="1E0F0390" w14:textId="1EA5538A" w:rsidR="00FF2747" w:rsidRPr="00171C63" w:rsidRDefault="00FF2747" w:rsidP="00171C63">
      <w:pPr>
        <w:pStyle w:val="Prrafodelista"/>
        <w:numPr>
          <w:ilvl w:val="0"/>
          <w:numId w:val="2"/>
        </w:numPr>
        <w:spacing w:line="360" w:lineRule="auto"/>
        <w:jc w:val="both"/>
        <w:rPr>
          <w:rFonts w:ascii="Arial" w:hAnsi="Arial" w:cs="Arial"/>
          <w:sz w:val="24"/>
          <w:szCs w:val="24"/>
        </w:rPr>
      </w:pPr>
      <w:r w:rsidRPr="00171C63">
        <w:rPr>
          <w:rFonts w:ascii="Arial" w:hAnsi="Arial" w:cs="Arial"/>
          <w:sz w:val="24"/>
          <w:szCs w:val="24"/>
        </w:rPr>
        <w:t>Datos del servidor público involucrado</w:t>
      </w:r>
    </w:p>
    <w:p w14:paraId="77AB243A" w14:textId="028E21EE" w:rsidR="00FF2747" w:rsidRPr="00171C63" w:rsidRDefault="00FF2747" w:rsidP="00171C63">
      <w:pPr>
        <w:pStyle w:val="Prrafodelista"/>
        <w:numPr>
          <w:ilvl w:val="0"/>
          <w:numId w:val="2"/>
        </w:numPr>
        <w:spacing w:line="360" w:lineRule="auto"/>
        <w:jc w:val="both"/>
        <w:rPr>
          <w:rFonts w:ascii="Arial" w:hAnsi="Arial" w:cs="Arial"/>
          <w:sz w:val="24"/>
          <w:szCs w:val="24"/>
        </w:rPr>
      </w:pPr>
      <w:r w:rsidRPr="00171C63">
        <w:rPr>
          <w:rFonts w:ascii="Arial" w:hAnsi="Arial" w:cs="Arial"/>
          <w:sz w:val="24"/>
          <w:szCs w:val="24"/>
        </w:rPr>
        <w:t xml:space="preserve">Medios probatorios de la conducta entre éstos los de al menos dos </w:t>
      </w:r>
      <w:r w:rsidR="009C0244" w:rsidRPr="00171C63">
        <w:rPr>
          <w:rFonts w:ascii="Arial" w:hAnsi="Arial" w:cs="Arial"/>
          <w:sz w:val="24"/>
          <w:szCs w:val="24"/>
        </w:rPr>
        <w:t>terceros</w:t>
      </w:r>
      <w:r w:rsidRPr="00171C63">
        <w:rPr>
          <w:rFonts w:ascii="Arial" w:hAnsi="Arial" w:cs="Arial"/>
          <w:sz w:val="24"/>
          <w:szCs w:val="24"/>
        </w:rPr>
        <w:t xml:space="preserve"> que hayan </w:t>
      </w:r>
      <w:r w:rsidR="00B530CE" w:rsidRPr="00171C63">
        <w:rPr>
          <w:rFonts w:ascii="Arial" w:hAnsi="Arial" w:cs="Arial"/>
          <w:sz w:val="24"/>
          <w:szCs w:val="24"/>
        </w:rPr>
        <w:t>conocido</w:t>
      </w:r>
      <w:r w:rsidRPr="00171C63">
        <w:rPr>
          <w:rFonts w:ascii="Arial" w:hAnsi="Arial" w:cs="Arial"/>
          <w:sz w:val="24"/>
          <w:szCs w:val="24"/>
        </w:rPr>
        <w:t xml:space="preserve"> de los hechos. </w:t>
      </w:r>
    </w:p>
    <w:p w14:paraId="1A720034" w14:textId="383CF073" w:rsidR="00B530CE" w:rsidRPr="00171C63" w:rsidRDefault="00B530CE" w:rsidP="00171C63">
      <w:pPr>
        <w:spacing w:line="360" w:lineRule="auto"/>
        <w:jc w:val="both"/>
        <w:rPr>
          <w:rFonts w:ascii="Arial" w:hAnsi="Arial" w:cs="Arial"/>
          <w:sz w:val="24"/>
          <w:szCs w:val="24"/>
        </w:rPr>
      </w:pPr>
      <w:r w:rsidRPr="00171C63">
        <w:rPr>
          <w:rFonts w:ascii="Arial" w:hAnsi="Arial" w:cs="Arial"/>
          <w:sz w:val="24"/>
          <w:szCs w:val="24"/>
        </w:rPr>
        <w:t xml:space="preserve">Se podrán admitir la presentación de delaciones anónimas siempre que en esta se identifiquen la menos a dos personas que le consten los hechos. Cuando </w:t>
      </w:r>
      <w:r w:rsidR="009C0244" w:rsidRPr="00171C63">
        <w:rPr>
          <w:rFonts w:ascii="Arial" w:hAnsi="Arial" w:cs="Arial"/>
          <w:sz w:val="24"/>
          <w:szCs w:val="24"/>
        </w:rPr>
        <w:t>resulte</w:t>
      </w:r>
      <w:r w:rsidRPr="00171C63">
        <w:rPr>
          <w:rFonts w:ascii="Arial" w:hAnsi="Arial" w:cs="Arial"/>
          <w:sz w:val="24"/>
          <w:szCs w:val="24"/>
        </w:rPr>
        <w:t xml:space="preserve"> </w:t>
      </w:r>
      <w:r w:rsidR="009C0244" w:rsidRPr="00171C63">
        <w:rPr>
          <w:rFonts w:ascii="Arial" w:hAnsi="Arial" w:cs="Arial"/>
          <w:sz w:val="24"/>
          <w:szCs w:val="24"/>
        </w:rPr>
        <w:t>necesario</w:t>
      </w:r>
      <w:r w:rsidRPr="00171C63">
        <w:rPr>
          <w:rFonts w:ascii="Arial" w:hAnsi="Arial" w:cs="Arial"/>
          <w:sz w:val="24"/>
          <w:szCs w:val="24"/>
        </w:rPr>
        <w:t xml:space="preserve"> el COEPCI mantendrá estricta confidencialidad del nombre y demás </w:t>
      </w:r>
      <w:r w:rsidRPr="00171C63">
        <w:rPr>
          <w:rFonts w:ascii="Arial" w:hAnsi="Arial" w:cs="Arial"/>
          <w:sz w:val="24"/>
          <w:szCs w:val="24"/>
        </w:rPr>
        <w:lastRenderedPageBreak/>
        <w:t xml:space="preserve">datos de la persona que presente una delación y de los terceros a los que les consten los hechos a no ser que tengan el carácter de servidores públicos. </w:t>
      </w:r>
    </w:p>
    <w:p w14:paraId="40086E72" w14:textId="77777777" w:rsidR="00B530CE" w:rsidRPr="00B530CE" w:rsidRDefault="00B530CE" w:rsidP="00B530CE">
      <w:pPr>
        <w:jc w:val="both"/>
        <w:rPr>
          <w:rFonts w:ascii="Arial" w:hAnsi="Arial" w:cs="Arial"/>
        </w:rPr>
      </w:pPr>
    </w:p>
    <w:tbl>
      <w:tblPr>
        <w:tblStyle w:val="Tablaconcuadrcula"/>
        <w:tblW w:w="0" w:type="auto"/>
        <w:tblLayout w:type="fixed"/>
        <w:tblLook w:val="04A0" w:firstRow="1" w:lastRow="0" w:firstColumn="1" w:lastColumn="0" w:noHBand="0" w:noVBand="1"/>
      </w:tblPr>
      <w:tblGrid>
        <w:gridCol w:w="563"/>
        <w:gridCol w:w="3500"/>
        <w:gridCol w:w="1677"/>
        <w:gridCol w:w="2052"/>
        <w:gridCol w:w="1036"/>
      </w:tblGrid>
      <w:tr w:rsidR="003F3E62" w14:paraId="1319FCC8" w14:textId="332951C4" w:rsidTr="00171C63">
        <w:tc>
          <w:tcPr>
            <w:tcW w:w="563" w:type="dxa"/>
            <w:shd w:val="clear" w:color="auto" w:fill="D9F2D0" w:themeFill="accent6" w:themeFillTint="33"/>
          </w:tcPr>
          <w:p w14:paraId="713ED6A3" w14:textId="1522E296" w:rsidR="003F3E62" w:rsidRPr="00E92323" w:rsidRDefault="003F3E62" w:rsidP="00E92323">
            <w:pPr>
              <w:jc w:val="center"/>
              <w:rPr>
                <w:b/>
                <w:bCs/>
              </w:rPr>
            </w:pPr>
            <w:r w:rsidRPr="00E92323">
              <w:rPr>
                <w:b/>
                <w:bCs/>
              </w:rPr>
              <w:t>No.</w:t>
            </w:r>
          </w:p>
        </w:tc>
        <w:tc>
          <w:tcPr>
            <w:tcW w:w="3500" w:type="dxa"/>
            <w:shd w:val="clear" w:color="auto" w:fill="D9F2D0" w:themeFill="accent6" w:themeFillTint="33"/>
          </w:tcPr>
          <w:p w14:paraId="12BD21D4" w14:textId="2D5D3701" w:rsidR="003F3E62" w:rsidRPr="00E92323" w:rsidRDefault="003F3E62" w:rsidP="00E92323">
            <w:pPr>
              <w:jc w:val="center"/>
              <w:rPr>
                <w:b/>
                <w:bCs/>
              </w:rPr>
            </w:pPr>
            <w:r w:rsidRPr="00E92323">
              <w:rPr>
                <w:b/>
                <w:bCs/>
              </w:rPr>
              <w:t>Descripción de la Actividad</w:t>
            </w:r>
          </w:p>
        </w:tc>
        <w:tc>
          <w:tcPr>
            <w:tcW w:w="1677" w:type="dxa"/>
            <w:shd w:val="clear" w:color="auto" w:fill="D9F2D0" w:themeFill="accent6" w:themeFillTint="33"/>
          </w:tcPr>
          <w:p w14:paraId="7CC78A2B" w14:textId="163C45CB" w:rsidR="003F3E62" w:rsidRPr="00E92323" w:rsidRDefault="003F3E62" w:rsidP="00E92323">
            <w:pPr>
              <w:jc w:val="center"/>
              <w:rPr>
                <w:b/>
                <w:bCs/>
              </w:rPr>
            </w:pPr>
            <w:r w:rsidRPr="00E92323">
              <w:rPr>
                <w:b/>
                <w:bCs/>
              </w:rPr>
              <w:t>Responsable</w:t>
            </w:r>
          </w:p>
        </w:tc>
        <w:tc>
          <w:tcPr>
            <w:tcW w:w="2052" w:type="dxa"/>
            <w:shd w:val="clear" w:color="auto" w:fill="D9F2D0" w:themeFill="accent6" w:themeFillTint="33"/>
          </w:tcPr>
          <w:p w14:paraId="0E0C90C1" w14:textId="465CBF0A" w:rsidR="003F3E62" w:rsidRPr="00E92323" w:rsidRDefault="003F3E62" w:rsidP="00E92323">
            <w:pPr>
              <w:jc w:val="center"/>
              <w:rPr>
                <w:b/>
                <w:bCs/>
              </w:rPr>
            </w:pPr>
            <w:r>
              <w:rPr>
                <w:b/>
                <w:bCs/>
              </w:rPr>
              <w:t>Evidencia Documental o electrónica</w:t>
            </w:r>
          </w:p>
        </w:tc>
        <w:tc>
          <w:tcPr>
            <w:tcW w:w="1036" w:type="dxa"/>
            <w:shd w:val="clear" w:color="auto" w:fill="D9F2D0" w:themeFill="accent6" w:themeFillTint="33"/>
          </w:tcPr>
          <w:p w14:paraId="5332A8BD" w14:textId="1A8B2901" w:rsidR="003F3E62" w:rsidRDefault="003F3E62" w:rsidP="00E92323">
            <w:pPr>
              <w:jc w:val="center"/>
              <w:rPr>
                <w:b/>
                <w:bCs/>
              </w:rPr>
            </w:pPr>
            <w:r>
              <w:rPr>
                <w:b/>
                <w:bCs/>
              </w:rPr>
              <w:t>Término</w:t>
            </w:r>
          </w:p>
        </w:tc>
      </w:tr>
      <w:tr w:rsidR="003F3E62" w14:paraId="0E41B5B9" w14:textId="59804103" w:rsidTr="00171C63">
        <w:tc>
          <w:tcPr>
            <w:tcW w:w="563" w:type="dxa"/>
          </w:tcPr>
          <w:p w14:paraId="67032EC4" w14:textId="1375A032" w:rsidR="003F3E62" w:rsidRDefault="003F3E62" w:rsidP="00FF2747">
            <w:pPr>
              <w:jc w:val="both"/>
            </w:pPr>
            <w:r>
              <w:t>1</w:t>
            </w:r>
          </w:p>
        </w:tc>
        <w:tc>
          <w:tcPr>
            <w:tcW w:w="3500" w:type="dxa"/>
          </w:tcPr>
          <w:p w14:paraId="0025F231" w14:textId="113B8D25" w:rsidR="003F3E62" w:rsidRDefault="003F3E62" w:rsidP="00FF2747">
            <w:pPr>
              <w:jc w:val="both"/>
            </w:pPr>
            <w:r>
              <w:t>Presenta delación siguiendo requisitos establecidos</w:t>
            </w:r>
          </w:p>
        </w:tc>
        <w:tc>
          <w:tcPr>
            <w:tcW w:w="1677" w:type="dxa"/>
          </w:tcPr>
          <w:p w14:paraId="4AC9053C" w14:textId="0457F5D4" w:rsidR="003F3E62" w:rsidRDefault="003F3E62" w:rsidP="00FF2747">
            <w:pPr>
              <w:jc w:val="both"/>
            </w:pPr>
            <w:r>
              <w:t>Promovente</w:t>
            </w:r>
          </w:p>
        </w:tc>
        <w:tc>
          <w:tcPr>
            <w:tcW w:w="2052" w:type="dxa"/>
          </w:tcPr>
          <w:p w14:paraId="1CDABAEC" w14:textId="5A67E151" w:rsidR="003F3E62" w:rsidRDefault="003F3E62" w:rsidP="00FF2747">
            <w:pPr>
              <w:jc w:val="both"/>
            </w:pPr>
            <w:r>
              <w:t>Correo electrónico /Buzón Físico</w:t>
            </w:r>
          </w:p>
        </w:tc>
        <w:tc>
          <w:tcPr>
            <w:tcW w:w="1036" w:type="dxa"/>
          </w:tcPr>
          <w:p w14:paraId="284AEE94" w14:textId="07085C91" w:rsidR="003F3E62" w:rsidRDefault="003F3E62" w:rsidP="00FF2747">
            <w:pPr>
              <w:jc w:val="both"/>
            </w:pPr>
            <w:r>
              <w:t>No</w:t>
            </w:r>
          </w:p>
        </w:tc>
      </w:tr>
      <w:tr w:rsidR="003F3E62" w14:paraId="435A43E3" w14:textId="5DAF591D" w:rsidTr="00171C63">
        <w:tc>
          <w:tcPr>
            <w:tcW w:w="563" w:type="dxa"/>
          </w:tcPr>
          <w:p w14:paraId="09E52059" w14:textId="2690C302" w:rsidR="003F3E62" w:rsidRDefault="003F3E62" w:rsidP="00FF2747">
            <w:pPr>
              <w:jc w:val="both"/>
            </w:pPr>
            <w:r>
              <w:t>2</w:t>
            </w:r>
          </w:p>
        </w:tc>
        <w:tc>
          <w:tcPr>
            <w:tcW w:w="3500" w:type="dxa"/>
          </w:tcPr>
          <w:p w14:paraId="66E4E614" w14:textId="77777777" w:rsidR="003F3E62" w:rsidRDefault="003F3E62" w:rsidP="00FF2747">
            <w:pPr>
              <w:jc w:val="both"/>
            </w:pPr>
            <w:r>
              <w:t>Una vez recibida la delación se le asignará un número de expediente consecutivo</w:t>
            </w:r>
          </w:p>
          <w:p w14:paraId="3616BB44" w14:textId="216A15BC" w:rsidR="003F3E62" w:rsidRDefault="003F3E62" w:rsidP="00FF2747">
            <w:pPr>
              <w:jc w:val="both"/>
            </w:pPr>
          </w:p>
        </w:tc>
        <w:tc>
          <w:tcPr>
            <w:tcW w:w="1677" w:type="dxa"/>
          </w:tcPr>
          <w:p w14:paraId="211AFDBE" w14:textId="421B022F" w:rsidR="003F3E62" w:rsidRDefault="002921D9" w:rsidP="00FF2747">
            <w:pPr>
              <w:jc w:val="both"/>
            </w:pPr>
            <w:r>
              <w:t xml:space="preserve">Persona titular de la </w:t>
            </w:r>
            <w:proofErr w:type="gramStart"/>
            <w:r>
              <w:t>Secretaria Ejecutiva</w:t>
            </w:r>
            <w:proofErr w:type="gramEnd"/>
          </w:p>
        </w:tc>
        <w:tc>
          <w:tcPr>
            <w:tcW w:w="2052" w:type="dxa"/>
          </w:tcPr>
          <w:p w14:paraId="238513EE" w14:textId="18D425F5" w:rsidR="003F3E62" w:rsidRDefault="003F3E62" w:rsidP="00FF2747">
            <w:pPr>
              <w:jc w:val="both"/>
            </w:pPr>
            <w:r>
              <w:t>Expediente</w:t>
            </w:r>
          </w:p>
        </w:tc>
        <w:tc>
          <w:tcPr>
            <w:tcW w:w="1036" w:type="dxa"/>
          </w:tcPr>
          <w:p w14:paraId="2AFA93F7" w14:textId="45FD400C" w:rsidR="003F3E62" w:rsidRDefault="003F3E62" w:rsidP="00FF2747">
            <w:pPr>
              <w:jc w:val="both"/>
            </w:pPr>
            <w:r>
              <w:t>3 días hábiles</w:t>
            </w:r>
          </w:p>
        </w:tc>
      </w:tr>
      <w:tr w:rsidR="003F3E62" w14:paraId="753A2A59" w14:textId="6A0B29D1" w:rsidTr="00171C63">
        <w:tc>
          <w:tcPr>
            <w:tcW w:w="563" w:type="dxa"/>
          </w:tcPr>
          <w:p w14:paraId="3F0FE0CE" w14:textId="39BDA325" w:rsidR="003F3E62" w:rsidRDefault="00171C63" w:rsidP="00FF2747">
            <w:pPr>
              <w:jc w:val="both"/>
            </w:pPr>
            <w:r>
              <w:t>3</w:t>
            </w:r>
          </w:p>
        </w:tc>
        <w:tc>
          <w:tcPr>
            <w:tcW w:w="3500" w:type="dxa"/>
          </w:tcPr>
          <w:p w14:paraId="7DD09AFE" w14:textId="77777777" w:rsidR="003F3E62" w:rsidRDefault="003F3E62" w:rsidP="00E92323">
            <w:pPr>
              <w:jc w:val="both"/>
            </w:pPr>
            <w:r>
              <w:t xml:space="preserve">Se verificará que cumpla con los requisitos, en caso de incumplir se dará un plazo de 3 días para subsanar alguna deficiencia en la delación. </w:t>
            </w:r>
          </w:p>
          <w:p w14:paraId="5F3022CA" w14:textId="1E5AB849" w:rsidR="003F3E62" w:rsidRDefault="003F3E62" w:rsidP="00E92323">
            <w:pPr>
              <w:jc w:val="both"/>
            </w:pPr>
          </w:p>
        </w:tc>
        <w:tc>
          <w:tcPr>
            <w:tcW w:w="1677" w:type="dxa"/>
          </w:tcPr>
          <w:p w14:paraId="54B3850F" w14:textId="6C0798F8" w:rsidR="003F3E62" w:rsidRDefault="002921D9" w:rsidP="00FF2747">
            <w:pPr>
              <w:jc w:val="both"/>
            </w:pPr>
            <w:r>
              <w:t xml:space="preserve">Persona titular de la </w:t>
            </w:r>
            <w:proofErr w:type="gramStart"/>
            <w:r>
              <w:t>Secretaria Ejecutiva</w:t>
            </w:r>
            <w:proofErr w:type="gramEnd"/>
          </w:p>
        </w:tc>
        <w:tc>
          <w:tcPr>
            <w:tcW w:w="2052" w:type="dxa"/>
          </w:tcPr>
          <w:p w14:paraId="1067832E" w14:textId="77777777" w:rsidR="003F3E62" w:rsidRDefault="003F3E62" w:rsidP="00FF2747">
            <w:pPr>
              <w:jc w:val="both"/>
            </w:pPr>
            <w:r>
              <w:t>Notificación por correo electrónico</w:t>
            </w:r>
          </w:p>
          <w:p w14:paraId="16FFF5DA" w14:textId="77777777" w:rsidR="003F3E62" w:rsidRDefault="003F3E62" w:rsidP="00FF2747">
            <w:pPr>
              <w:jc w:val="both"/>
            </w:pPr>
            <w:r>
              <w:t>Oficio</w:t>
            </w:r>
          </w:p>
          <w:p w14:paraId="06047CF3" w14:textId="0E0D09FE" w:rsidR="003F3E62" w:rsidRDefault="003F3E62" w:rsidP="00FF2747">
            <w:pPr>
              <w:jc w:val="both"/>
            </w:pPr>
            <w:r>
              <w:t>Expediente</w:t>
            </w:r>
          </w:p>
        </w:tc>
        <w:tc>
          <w:tcPr>
            <w:tcW w:w="1036" w:type="dxa"/>
          </w:tcPr>
          <w:p w14:paraId="495034E1" w14:textId="1DDD8FE7" w:rsidR="003F3E62" w:rsidRDefault="003F3E62" w:rsidP="00FF2747">
            <w:pPr>
              <w:jc w:val="both"/>
            </w:pPr>
            <w:r>
              <w:t>3 días hábiles</w:t>
            </w:r>
          </w:p>
        </w:tc>
      </w:tr>
      <w:tr w:rsidR="003F3E62" w14:paraId="070B69F0" w14:textId="77777777" w:rsidTr="00171C63">
        <w:tc>
          <w:tcPr>
            <w:tcW w:w="563" w:type="dxa"/>
          </w:tcPr>
          <w:p w14:paraId="0F6A2421" w14:textId="3B28A4F9" w:rsidR="003F3E62" w:rsidRDefault="00171C63" w:rsidP="00FF2747">
            <w:pPr>
              <w:jc w:val="both"/>
            </w:pPr>
            <w:r>
              <w:t>4</w:t>
            </w:r>
          </w:p>
        </w:tc>
        <w:tc>
          <w:tcPr>
            <w:tcW w:w="3500" w:type="dxa"/>
          </w:tcPr>
          <w:p w14:paraId="75F8C513" w14:textId="16D237F0" w:rsidR="003F3E62" w:rsidRDefault="003F3E62" w:rsidP="00E92323">
            <w:pPr>
              <w:jc w:val="both"/>
            </w:pPr>
            <w:r>
              <w:t>Subsana deficiencias</w:t>
            </w:r>
          </w:p>
        </w:tc>
        <w:tc>
          <w:tcPr>
            <w:tcW w:w="1677" w:type="dxa"/>
          </w:tcPr>
          <w:p w14:paraId="63AD67DB" w14:textId="04C003EA" w:rsidR="003F3E62" w:rsidRDefault="003F3E62" w:rsidP="00FF2747">
            <w:pPr>
              <w:jc w:val="both"/>
            </w:pPr>
            <w:r>
              <w:t>Promovente</w:t>
            </w:r>
          </w:p>
        </w:tc>
        <w:tc>
          <w:tcPr>
            <w:tcW w:w="2052" w:type="dxa"/>
          </w:tcPr>
          <w:p w14:paraId="3B9BD95B" w14:textId="77777777" w:rsidR="003F3E62" w:rsidRDefault="003F3E62" w:rsidP="00FF2747">
            <w:pPr>
              <w:jc w:val="both"/>
            </w:pPr>
            <w:r>
              <w:t>Correo electrónico o por escrito</w:t>
            </w:r>
          </w:p>
          <w:p w14:paraId="0E762370" w14:textId="60C83092" w:rsidR="003F3E62" w:rsidRDefault="003F3E62" w:rsidP="00FF2747">
            <w:pPr>
              <w:jc w:val="both"/>
            </w:pPr>
            <w:r>
              <w:t>Expediente</w:t>
            </w:r>
          </w:p>
        </w:tc>
        <w:tc>
          <w:tcPr>
            <w:tcW w:w="1036" w:type="dxa"/>
          </w:tcPr>
          <w:p w14:paraId="653A4239" w14:textId="7E663E45" w:rsidR="003F3E62" w:rsidRDefault="003F3E62" w:rsidP="00FF2747">
            <w:pPr>
              <w:jc w:val="both"/>
            </w:pPr>
            <w:r>
              <w:t>3 días hábiles</w:t>
            </w:r>
          </w:p>
        </w:tc>
      </w:tr>
      <w:tr w:rsidR="003F3E62" w14:paraId="78F22A19" w14:textId="77777777" w:rsidTr="00171C63">
        <w:tc>
          <w:tcPr>
            <w:tcW w:w="563" w:type="dxa"/>
          </w:tcPr>
          <w:p w14:paraId="114214B0" w14:textId="214DB8D4" w:rsidR="003F3E62" w:rsidRDefault="00171C63" w:rsidP="00FF2747">
            <w:pPr>
              <w:jc w:val="both"/>
            </w:pPr>
            <w:r>
              <w:t>5</w:t>
            </w:r>
          </w:p>
        </w:tc>
        <w:tc>
          <w:tcPr>
            <w:tcW w:w="3500" w:type="dxa"/>
          </w:tcPr>
          <w:p w14:paraId="2F2060EE" w14:textId="195C7840" w:rsidR="003F3E62" w:rsidRDefault="003F3E62" w:rsidP="00E92323">
            <w:pPr>
              <w:jc w:val="both"/>
            </w:pPr>
            <w:r>
              <w:t>En caso de no contar con respuesta del interesado en el plazo, el expediente se archivará como concluido.</w:t>
            </w:r>
          </w:p>
        </w:tc>
        <w:tc>
          <w:tcPr>
            <w:tcW w:w="1677" w:type="dxa"/>
          </w:tcPr>
          <w:p w14:paraId="08335EC2" w14:textId="2AB54A70" w:rsidR="003F3E62" w:rsidRDefault="002921D9" w:rsidP="00FF2747">
            <w:pPr>
              <w:jc w:val="both"/>
            </w:pPr>
            <w:r>
              <w:t xml:space="preserve">Persona titular de la </w:t>
            </w:r>
            <w:proofErr w:type="gramStart"/>
            <w:r>
              <w:t>Secretaria Ejecutiva</w:t>
            </w:r>
            <w:proofErr w:type="gramEnd"/>
          </w:p>
        </w:tc>
        <w:tc>
          <w:tcPr>
            <w:tcW w:w="2052" w:type="dxa"/>
          </w:tcPr>
          <w:p w14:paraId="19100A8C" w14:textId="77777777" w:rsidR="003F3E62" w:rsidRDefault="003F3E62" w:rsidP="00FF2747">
            <w:pPr>
              <w:jc w:val="both"/>
            </w:pPr>
            <w:r>
              <w:t>Expediente</w:t>
            </w:r>
          </w:p>
          <w:p w14:paraId="35C6F937" w14:textId="52341241" w:rsidR="003F3E62" w:rsidRDefault="003F3E62" w:rsidP="00FF2747">
            <w:pPr>
              <w:jc w:val="both"/>
            </w:pPr>
            <w:r>
              <w:t>Acta de sesión en la que se da a conocer la situación</w:t>
            </w:r>
          </w:p>
        </w:tc>
        <w:tc>
          <w:tcPr>
            <w:tcW w:w="1036" w:type="dxa"/>
          </w:tcPr>
          <w:p w14:paraId="2D538A6C" w14:textId="38256296" w:rsidR="003F3E62" w:rsidRDefault="003F3E62" w:rsidP="00FF2747">
            <w:pPr>
              <w:jc w:val="both"/>
            </w:pPr>
            <w:r>
              <w:t>No</w:t>
            </w:r>
          </w:p>
        </w:tc>
      </w:tr>
      <w:tr w:rsidR="003F3E62" w14:paraId="465FA843" w14:textId="2509828B" w:rsidTr="00171C63">
        <w:tc>
          <w:tcPr>
            <w:tcW w:w="563" w:type="dxa"/>
          </w:tcPr>
          <w:p w14:paraId="78EB3EAB" w14:textId="65FCE086" w:rsidR="003F3E62" w:rsidRDefault="00171C63" w:rsidP="00FF2747">
            <w:pPr>
              <w:jc w:val="both"/>
            </w:pPr>
            <w:r>
              <w:t>6</w:t>
            </w:r>
          </w:p>
        </w:tc>
        <w:tc>
          <w:tcPr>
            <w:tcW w:w="3500" w:type="dxa"/>
          </w:tcPr>
          <w:p w14:paraId="73D012D7" w14:textId="63C8DD25" w:rsidR="003F3E62" w:rsidRDefault="003F3E62" w:rsidP="00FF2747">
            <w:pPr>
              <w:jc w:val="both"/>
            </w:pPr>
            <w:r>
              <w:t>Una vez que la delación se encuentre completa se da trámite y se hace del conocimiento del COEPCI</w:t>
            </w:r>
          </w:p>
        </w:tc>
        <w:tc>
          <w:tcPr>
            <w:tcW w:w="1677" w:type="dxa"/>
          </w:tcPr>
          <w:p w14:paraId="106FB187" w14:textId="07E3FEEE" w:rsidR="003F3E62" w:rsidRDefault="002921D9" w:rsidP="00FF2747">
            <w:pPr>
              <w:jc w:val="both"/>
            </w:pPr>
            <w:r>
              <w:t xml:space="preserve">Persona titular de la </w:t>
            </w:r>
            <w:proofErr w:type="gramStart"/>
            <w:r>
              <w:t>Secretaria Ejecutiva</w:t>
            </w:r>
            <w:proofErr w:type="gramEnd"/>
          </w:p>
        </w:tc>
        <w:tc>
          <w:tcPr>
            <w:tcW w:w="2052" w:type="dxa"/>
          </w:tcPr>
          <w:p w14:paraId="10C76358" w14:textId="77777777" w:rsidR="003F3E62" w:rsidRDefault="003F3E62" w:rsidP="00FF2747">
            <w:pPr>
              <w:jc w:val="both"/>
            </w:pPr>
            <w:r>
              <w:t>Correo electrónico</w:t>
            </w:r>
          </w:p>
          <w:p w14:paraId="27FA3F6B" w14:textId="4C4F128D" w:rsidR="003F3E62" w:rsidRDefault="003F3E62" w:rsidP="00FF2747">
            <w:pPr>
              <w:jc w:val="both"/>
            </w:pPr>
            <w:r>
              <w:t>Expediente</w:t>
            </w:r>
          </w:p>
        </w:tc>
        <w:tc>
          <w:tcPr>
            <w:tcW w:w="1036" w:type="dxa"/>
          </w:tcPr>
          <w:p w14:paraId="78E1CA10" w14:textId="5E2FC283" w:rsidR="003F3E62" w:rsidRDefault="003F3E62" w:rsidP="00FF2747">
            <w:pPr>
              <w:jc w:val="both"/>
            </w:pPr>
            <w:r>
              <w:t>1 día hábil</w:t>
            </w:r>
          </w:p>
        </w:tc>
      </w:tr>
      <w:tr w:rsidR="002921D9" w14:paraId="11BEDFC4" w14:textId="77777777" w:rsidTr="00171C63">
        <w:tc>
          <w:tcPr>
            <w:tcW w:w="563" w:type="dxa"/>
          </w:tcPr>
          <w:p w14:paraId="66FE7D10" w14:textId="313E7449" w:rsidR="002921D9" w:rsidRDefault="00171C63" w:rsidP="00FF2747">
            <w:pPr>
              <w:jc w:val="both"/>
            </w:pPr>
            <w:r>
              <w:t>7</w:t>
            </w:r>
          </w:p>
        </w:tc>
        <w:tc>
          <w:tcPr>
            <w:tcW w:w="3500" w:type="dxa"/>
          </w:tcPr>
          <w:p w14:paraId="4C10BBAF" w14:textId="4CA33349" w:rsidR="002921D9" w:rsidRDefault="002921D9" w:rsidP="00FF2747">
            <w:pPr>
              <w:jc w:val="both"/>
            </w:pPr>
            <w:r>
              <w:t>En caso de que el expediente se encuentre completo se turnará a la Persona titular de la Presidencia del COEPCI para sesión</w:t>
            </w:r>
          </w:p>
        </w:tc>
        <w:tc>
          <w:tcPr>
            <w:tcW w:w="1677" w:type="dxa"/>
          </w:tcPr>
          <w:p w14:paraId="38FCFF7E" w14:textId="50B79FBD" w:rsidR="002921D9" w:rsidRDefault="002921D9" w:rsidP="00FF2747">
            <w:pPr>
              <w:jc w:val="both"/>
            </w:pPr>
            <w:r>
              <w:t xml:space="preserve">Persona titular de la </w:t>
            </w:r>
            <w:proofErr w:type="gramStart"/>
            <w:r>
              <w:t>Secretaria Ejecutiva</w:t>
            </w:r>
            <w:proofErr w:type="gramEnd"/>
          </w:p>
        </w:tc>
        <w:tc>
          <w:tcPr>
            <w:tcW w:w="2052" w:type="dxa"/>
          </w:tcPr>
          <w:p w14:paraId="5CE25339" w14:textId="657A5640" w:rsidR="002921D9" w:rsidRDefault="00FC38BA" w:rsidP="00FF2747">
            <w:pPr>
              <w:jc w:val="both"/>
            </w:pPr>
            <w:r>
              <w:t>Memorándum</w:t>
            </w:r>
          </w:p>
        </w:tc>
        <w:tc>
          <w:tcPr>
            <w:tcW w:w="1036" w:type="dxa"/>
          </w:tcPr>
          <w:p w14:paraId="719F925D" w14:textId="25DC75D5" w:rsidR="002921D9" w:rsidRDefault="00FC38BA" w:rsidP="00FF2747">
            <w:pPr>
              <w:jc w:val="both"/>
            </w:pPr>
            <w:r>
              <w:t>1 día hábil</w:t>
            </w:r>
          </w:p>
        </w:tc>
      </w:tr>
      <w:tr w:rsidR="003F3E62" w14:paraId="4BEEF06A" w14:textId="0911B12A" w:rsidTr="00171C63">
        <w:tc>
          <w:tcPr>
            <w:tcW w:w="563" w:type="dxa"/>
          </w:tcPr>
          <w:p w14:paraId="5EC6FB9D" w14:textId="43FFD4CF" w:rsidR="003F3E62" w:rsidRDefault="00171C63" w:rsidP="00FF2747">
            <w:pPr>
              <w:jc w:val="both"/>
            </w:pPr>
            <w:r>
              <w:t>8</w:t>
            </w:r>
          </w:p>
        </w:tc>
        <w:tc>
          <w:tcPr>
            <w:tcW w:w="3500" w:type="dxa"/>
          </w:tcPr>
          <w:p w14:paraId="1FAF4D28" w14:textId="7B2A062F" w:rsidR="003F3E62" w:rsidRDefault="003F3E62" w:rsidP="00FF2747">
            <w:pPr>
              <w:jc w:val="both"/>
            </w:pPr>
            <w:r>
              <w:t>La documentación de la delación se turnará a los miembros del COEPCI para efecto de su calificación, que puede ser:</w:t>
            </w:r>
          </w:p>
          <w:p w14:paraId="7A84F5DB" w14:textId="5D2DAACB" w:rsidR="003F3E62" w:rsidRDefault="003F3E62" w:rsidP="00FF2747">
            <w:pPr>
              <w:jc w:val="both"/>
            </w:pPr>
            <w:r>
              <w:t>- Probable incumplimiento</w:t>
            </w:r>
          </w:p>
          <w:p w14:paraId="12AF97BF" w14:textId="55438D7B" w:rsidR="003F3E62" w:rsidRDefault="003F3E62" w:rsidP="00171C63">
            <w:pPr>
              <w:jc w:val="both"/>
            </w:pPr>
            <w:r>
              <w:t>- No competencia para conocer de la delación</w:t>
            </w:r>
          </w:p>
        </w:tc>
        <w:tc>
          <w:tcPr>
            <w:tcW w:w="1677" w:type="dxa"/>
          </w:tcPr>
          <w:p w14:paraId="755D2877" w14:textId="284EDD99" w:rsidR="003F3E62" w:rsidRDefault="002921D9" w:rsidP="00FF2747">
            <w:pPr>
              <w:jc w:val="both"/>
            </w:pPr>
            <w:r>
              <w:t xml:space="preserve">Persona titular de la </w:t>
            </w:r>
            <w:proofErr w:type="gramStart"/>
            <w:r w:rsidR="003F3E62">
              <w:t>Secretari</w:t>
            </w:r>
            <w:r>
              <w:t>a</w:t>
            </w:r>
            <w:r w:rsidR="003F3E62">
              <w:t xml:space="preserve"> Ejecutiv</w:t>
            </w:r>
            <w:r>
              <w:t>a</w:t>
            </w:r>
            <w:proofErr w:type="gramEnd"/>
          </w:p>
        </w:tc>
        <w:tc>
          <w:tcPr>
            <w:tcW w:w="2052" w:type="dxa"/>
          </w:tcPr>
          <w:p w14:paraId="11E65246" w14:textId="377D4B07" w:rsidR="003F3E62" w:rsidRDefault="00FC38BA" w:rsidP="00FF2747">
            <w:pPr>
              <w:jc w:val="both"/>
            </w:pPr>
            <w:r>
              <w:t>Acta de sesión</w:t>
            </w:r>
          </w:p>
        </w:tc>
        <w:tc>
          <w:tcPr>
            <w:tcW w:w="1036" w:type="dxa"/>
          </w:tcPr>
          <w:p w14:paraId="06C65AB9" w14:textId="4BCC12D0" w:rsidR="003F3E62" w:rsidRDefault="00FC38BA" w:rsidP="00FF2747">
            <w:pPr>
              <w:jc w:val="both"/>
            </w:pPr>
            <w:r>
              <w:t>10 días hábiles</w:t>
            </w:r>
          </w:p>
        </w:tc>
      </w:tr>
      <w:tr w:rsidR="003F3E62" w14:paraId="03A006E3" w14:textId="0293231C" w:rsidTr="00171C63">
        <w:tc>
          <w:tcPr>
            <w:tcW w:w="563" w:type="dxa"/>
          </w:tcPr>
          <w:p w14:paraId="2889FA0F" w14:textId="4893DD32" w:rsidR="003F3E62" w:rsidRDefault="00171C63" w:rsidP="00FF2747">
            <w:pPr>
              <w:jc w:val="both"/>
            </w:pPr>
            <w:r>
              <w:t>9</w:t>
            </w:r>
          </w:p>
        </w:tc>
        <w:tc>
          <w:tcPr>
            <w:tcW w:w="3500" w:type="dxa"/>
          </w:tcPr>
          <w:p w14:paraId="504AEC56" w14:textId="445404EC" w:rsidR="003F3E62" w:rsidRDefault="003F3E62" w:rsidP="00FF2747">
            <w:pPr>
              <w:jc w:val="both"/>
            </w:pPr>
            <w:r>
              <w:t xml:space="preserve">En caso de considerar que existe un probable incumplimiento al Código de Ética, Código de Conducta o a las Reglas de </w:t>
            </w:r>
            <w:r>
              <w:lastRenderedPageBreak/>
              <w:t>Integridad, se conformara una comisión para el Desahogo.</w:t>
            </w:r>
          </w:p>
        </w:tc>
        <w:tc>
          <w:tcPr>
            <w:tcW w:w="1677" w:type="dxa"/>
          </w:tcPr>
          <w:p w14:paraId="655985BE" w14:textId="5798958A" w:rsidR="003F3E62" w:rsidRDefault="003F3E62" w:rsidP="00FF2747">
            <w:pPr>
              <w:jc w:val="both"/>
            </w:pPr>
            <w:r>
              <w:lastRenderedPageBreak/>
              <w:t>COEPCI</w:t>
            </w:r>
          </w:p>
        </w:tc>
        <w:tc>
          <w:tcPr>
            <w:tcW w:w="2052" w:type="dxa"/>
          </w:tcPr>
          <w:p w14:paraId="366CB672" w14:textId="17A5B6C6" w:rsidR="003F3E62" w:rsidRDefault="003F3E62" w:rsidP="00FF2747">
            <w:pPr>
              <w:jc w:val="both"/>
            </w:pPr>
            <w:r>
              <w:t>Memorándum (Nombramiento de comisión)</w:t>
            </w:r>
          </w:p>
        </w:tc>
        <w:tc>
          <w:tcPr>
            <w:tcW w:w="1036" w:type="dxa"/>
          </w:tcPr>
          <w:p w14:paraId="61B6899D" w14:textId="5E52E349" w:rsidR="003F3E62" w:rsidRDefault="00FC38BA" w:rsidP="00FF2747">
            <w:pPr>
              <w:jc w:val="both"/>
            </w:pPr>
            <w:r>
              <w:t>10 días hábiles</w:t>
            </w:r>
          </w:p>
        </w:tc>
      </w:tr>
      <w:tr w:rsidR="003F3E62" w14:paraId="662FFB6C" w14:textId="32CA3ED4" w:rsidTr="00171C63">
        <w:tc>
          <w:tcPr>
            <w:tcW w:w="563" w:type="dxa"/>
          </w:tcPr>
          <w:p w14:paraId="227ECB75" w14:textId="7D91EE40" w:rsidR="003F3E62" w:rsidRDefault="00171C63" w:rsidP="00FF2747">
            <w:pPr>
              <w:jc w:val="both"/>
            </w:pPr>
            <w:r>
              <w:t>10</w:t>
            </w:r>
          </w:p>
        </w:tc>
        <w:tc>
          <w:tcPr>
            <w:tcW w:w="3500" w:type="dxa"/>
          </w:tcPr>
          <w:p w14:paraId="75501ECB" w14:textId="6926F86C" w:rsidR="003F3E62" w:rsidRDefault="003F3E62" w:rsidP="00FF2747">
            <w:pPr>
              <w:jc w:val="both"/>
            </w:pPr>
            <w:r>
              <w:t>La comisión realizará una entrevista al servidor público involucrado de estimarlo necesario para allegarse de mayores elementos, a los testigos y a la persona que presento la delación.</w:t>
            </w:r>
          </w:p>
        </w:tc>
        <w:tc>
          <w:tcPr>
            <w:tcW w:w="1677" w:type="dxa"/>
          </w:tcPr>
          <w:p w14:paraId="1DBA430A" w14:textId="5D18AA8C" w:rsidR="003F3E62" w:rsidRDefault="00FC38BA" w:rsidP="00FF2747">
            <w:pPr>
              <w:jc w:val="both"/>
            </w:pPr>
            <w:r>
              <w:t>Comisión de miembros del COEPCI</w:t>
            </w:r>
          </w:p>
        </w:tc>
        <w:tc>
          <w:tcPr>
            <w:tcW w:w="2052" w:type="dxa"/>
          </w:tcPr>
          <w:p w14:paraId="0DAAA2B0" w14:textId="6F3B5668" w:rsidR="003F3E62" w:rsidRDefault="003F3E62" w:rsidP="00FF2747">
            <w:pPr>
              <w:jc w:val="both"/>
            </w:pPr>
            <w:r>
              <w:t>Constancia Escrita (Minuta de Trabajo)</w:t>
            </w:r>
          </w:p>
        </w:tc>
        <w:tc>
          <w:tcPr>
            <w:tcW w:w="1036" w:type="dxa"/>
          </w:tcPr>
          <w:p w14:paraId="13D91FFD" w14:textId="557BBAE6" w:rsidR="003F3E62" w:rsidRDefault="00FC38BA" w:rsidP="00FF2747">
            <w:pPr>
              <w:jc w:val="both"/>
            </w:pPr>
            <w:r>
              <w:t>10 días hábiles</w:t>
            </w:r>
          </w:p>
        </w:tc>
      </w:tr>
      <w:tr w:rsidR="003F3E62" w14:paraId="127420FE" w14:textId="0BACDFA4" w:rsidTr="00171C63">
        <w:tc>
          <w:tcPr>
            <w:tcW w:w="563" w:type="dxa"/>
          </w:tcPr>
          <w:p w14:paraId="3B440D64" w14:textId="32AAF107" w:rsidR="003F3E62" w:rsidRDefault="00171C63" w:rsidP="00FF2747">
            <w:pPr>
              <w:jc w:val="both"/>
            </w:pPr>
            <w:r>
              <w:t>11</w:t>
            </w:r>
          </w:p>
        </w:tc>
        <w:tc>
          <w:tcPr>
            <w:tcW w:w="3500" w:type="dxa"/>
          </w:tcPr>
          <w:p w14:paraId="42F7ED44" w14:textId="77777777" w:rsidR="003F3E62" w:rsidRDefault="003F3E62" w:rsidP="00FF2747">
            <w:pPr>
              <w:jc w:val="both"/>
            </w:pPr>
            <w:r>
              <w:t xml:space="preserve">Para la presentación de los hallazgos se llevará a cabo una sesión extraordinaria. </w:t>
            </w:r>
          </w:p>
          <w:p w14:paraId="3CC27817" w14:textId="3C56287D" w:rsidR="003F3E62" w:rsidRDefault="003F3E62" w:rsidP="00FF2747">
            <w:pPr>
              <w:jc w:val="both"/>
            </w:pPr>
            <w:r>
              <w:t>Una vez que los miembros comisionados del COEPCI hayan presentado sus conclusiones ante el Comité, se evalúa la delación para calificarla como: incumplimiento o no incumplimiento.</w:t>
            </w:r>
          </w:p>
        </w:tc>
        <w:tc>
          <w:tcPr>
            <w:tcW w:w="1677" w:type="dxa"/>
          </w:tcPr>
          <w:p w14:paraId="0EA9174A" w14:textId="77777777" w:rsidR="003F3E62" w:rsidRDefault="003F3E62" w:rsidP="00FF2747">
            <w:pPr>
              <w:jc w:val="both"/>
            </w:pPr>
            <w:r>
              <w:t xml:space="preserve">Comisión de miembros de COEPCI </w:t>
            </w:r>
          </w:p>
          <w:p w14:paraId="0B85DE21" w14:textId="58BA04B7" w:rsidR="003F3E62" w:rsidRDefault="003F3E62" w:rsidP="00FF2747">
            <w:pPr>
              <w:jc w:val="both"/>
            </w:pPr>
            <w:r>
              <w:t>Comité</w:t>
            </w:r>
          </w:p>
        </w:tc>
        <w:tc>
          <w:tcPr>
            <w:tcW w:w="2052" w:type="dxa"/>
          </w:tcPr>
          <w:p w14:paraId="29A74E50" w14:textId="3D0C6D60" w:rsidR="003F3E62" w:rsidRDefault="003F3E62" w:rsidP="00FF2747">
            <w:pPr>
              <w:jc w:val="both"/>
            </w:pPr>
            <w:r>
              <w:t>Acta de Sesión Extraordinaria</w:t>
            </w:r>
          </w:p>
        </w:tc>
        <w:tc>
          <w:tcPr>
            <w:tcW w:w="1036" w:type="dxa"/>
          </w:tcPr>
          <w:p w14:paraId="020C48EF" w14:textId="26454924" w:rsidR="003F3E62" w:rsidRDefault="00FC38BA" w:rsidP="00FF2747">
            <w:pPr>
              <w:jc w:val="both"/>
            </w:pPr>
            <w:r>
              <w:t>En la propia sesión programada</w:t>
            </w:r>
          </w:p>
        </w:tc>
      </w:tr>
      <w:tr w:rsidR="003F3E62" w14:paraId="44E59C4F" w14:textId="2C56AEB3" w:rsidTr="00171C63">
        <w:tc>
          <w:tcPr>
            <w:tcW w:w="563" w:type="dxa"/>
          </w:tcPr>
          <w:p w14:paraId="1911F055" w14:textId="482E8245" w:rsidR="003F3E62" w:rsidRDefault="00171C63" w:rsidP="00FF2747">
            <w:pPr>
              <w:jc w:val="both"/>
            </w:pPr>
            <w:r>
              <w:t>12</w:t>
            </w:r>
          </w:p>
        </w:tc>
        <w:tc>
          <w:tcPr>
            <w:tcW w:w="3500" w:type="dxa"/>
          </w:tcPr>
          <w:p w14:paraId="603DAEBD" w14:textId="03763E9C" w:rsidR="003F3E62" w:rsidRDefault="003F3E62" w:rsidP="00FF2747">
            <w:pPr>
              <w:jc w:val="both"/>
            </w:pPr>
            <w:r>
              <w:t>En caso de incumplimiento, el COEPCI emitirá sus observaciones y recomendaciones. De estimar una probable responsabilidad administrativa, dará vista al Órgano Interno de Control o a la Autoridad competente.</w:t>
            </w:r>
          </w:p>
        </w:tc>
        <w:tc>
          <w:tcPr>
            <w:tcW w:w="1677" w:type="dxa"/>
          </w:tcPr>
          <w:p w14:paraId="39657BE7" w14:textId="65359F3E" w:rsidR="003F3E62" w:rsidRDefault="003F3E62" w:rsidP="00FF2747">
            <w:pPr>
              <w:jc w:val="both"/>
            </w:pPr>
            <w:r>
              <w:t>COEPCI</w:t>
            </w:r>
          </w:p>
        </w:tc>
        <w:tc>
          <w:tcPr>
            <w:tcW w:w="2052" w:type="dxa"/>
          </w:tcPr>
          <w:p w14:paraId="1F8425CE" w14:textId="478C6BC6" w:rsidR="003F3E62" w:rsidRDefault="00FC38BA" w:rsidP="00FF2747">
            <w:pPr>
              <w:jc w:val="both"/>
            </w:pPr>
            <w:r>
              <w:t>Oficio</w:t>
            </w:r>
          </w:p>
          <w:p w14:paraId="3C4716F7" w14:textId="77777777" w:rsidR="00FC38BA" w:rsidRDefault="00FC38BA" w:rsidP="00FF2747">
            <w:pPr>
              <w:jc w:val="both"/>
            </w:pPr>
            <w:r>
              <w:t>Acta de Sesión Extraordinaria</w:t>
            </w:r>
          </w:p>
          <w:p w14:paraId="054F0E56" w14:textId="75AF49FA" w:rsidR="00FC38BA" w:rsidRDefault="00FC38BA" w:rsidP="00FF2747">
            <w:pPr>
              <w:jc w:val="both"/>
            </w:pPr>
            <w:r>
              <w:t>Expediente</w:t>
            </w:r>
          </w:p>
        </w:tc>
        <w:tc>
          <w:tcPr>
            <w:tcW w:w="1036" w:type="dxa"/>
          </w:tcPr>
          <w:p w14:paraId="1478D383" w14:textId="1887DBF2" w:rsidR="003F3E62" w:rsidRDefault="00FC38BA" w:rsidP="00FF2747">
            <w:pPr>
              <w:jc w:val="both"/>
            </w:pPr>
            <w:r>
              <w:t>3 días hábiles</w:t>
            </w:r>
          </w:p>
        </w:tc>
      </w:tr>
    </w:tbl>
    <w:p w14:paraId="256B172F" w14:textId="77777777" w:rsidR="00FF2747" w:rsidRDefault="00FF2747" w:rsidP="00FF2747">
      <w:pPr>
        <w:jc w:val="both"/>
      </w:pPr>
    </w:p>
    <w:p w14:paraId="2AC7998E" w14:textId="5FDC6998" w:rsidR="00E92323" w:rsidRPr="00FC38BA" w:rsidRDefault="00E92323" w:rsidP="00FF2747">
      <w:pPr>
        <w:jc w:val="both"/>
        <w:rPr>
          <w:rFonts w:ascii="Arial" w:hAnsi="Arial" w:cs="Arial"/>
          <w:b/>
          <w:bCs/>
          <w:sz w:val="24"/>
          <w:szCs w:val="24"/>
        </w:rPr>
      </w:pPr>
      <w:r w:rsidRPr="00FC38BA">
        <w:rPr>
          <w:rFonts w:ascii="Arial" w:hAnsi="Arial" w:cs="Arial"/>
          <w:b/>
          <w:bCs/>
          <w:sz w:val="24"/>
          <w:szCs w:val="24"/>
        </w:rPr>
        <w:t>Políticas</w:t>
      </w:r>
      <w:r w:rsidR="00FC38BA" w:rsidRPr="00FC38BA">
        <w:rPr>
          <w:rFonts w:ascii="Arial" w:hAnsi="Arial" w:cs="Arial"/>
          <w:b/>
          <w:bCs/>
          <w:sz w:val="24"/>
          <w:szCs w:val="24"/>
        </w:rPr>
        <w:t xml:space="preserve"> de operación</w:t>
      </w:r>
    </w:p>
    <w:p w14:paraId="021B29F9" w14:textId="0984AAC9" w:rsidR="00E92323" w:rsidRPr="00FC38BA" w:rsidRDefault="00E92323" w:rsidP="00FC38BA">
      <w:pPr>
        <w:pStyle w:val="Prrafodelista"/>
        <w:numPr>
          <w:ilvl w:val="0"/>
          <w:numId w:val="3"/>
        </w:numPr>
        <w:spacing w:line="360" w:lineRule="auto"/>
        <w:jc w:val="both"/>
        <w:rPr>
          <w:rFonts w:ascii="Arial" w:hAnsi="Arial" w:cs="Arial"/>
          <w:sz w:val="24"/>
          <w:szCs w:val="24"/>
        </w:rPr>
      </w:pPr>
      <w:r w:rsidRPr="00FC38BA">
        <w:rPr>
          <w:rFonts w:ascii="Arial" w:hAnsi="Arial" w:cs="Arial"/>
          <w:sz w:val="24"/>
          <w:szCs w:val="24"/>
        </w:rPr>
        <w:t xml:space="preserve">En caso de que la delación se califique como “No competencia para conocer de la delación”, el/la </w:t>
      </w:r>
      <w:proofErr w:type="gramStart"/>
      <w:r w:rsidRPr="00FC38BA">
        <w:rPr>
          <w:rFonts w:ascii="Arial" w:hAnsi="Arial" w:cs="Arial"/>
          <w:sz w:val="24"/>
          <w:szCs w:val="24"/>
        </w:rPr>
        <w:t>Presidente</w:t>
      </w:r>
      <w:proofErr w:type="gramEnd"/>
      <w:r w:rsidRPr="00FC38BA">
        <w:rPr>
          <w:rFonts w:ascii="Arial" w:hAnsi="Arial" w:cs="Arial"/>
          <w:sz w:val="24"/>
          <w:szCs w:val="24"/>
        </w:rPr>
        <w:t xml:space="preserve"> (a) deberá orientar a la persona para que </w:t>
      </w:r>
      <w:proofErr w:type="gramStart"/>
      <w:r w:rsidRPr="00FC38BA">
        <w:rPr>
          <w:rFonts w:ascii="Arial" w:hAnsi="Arial" w:cs="Arial"/>
          <w:sz w:val="24"/>
          <w:szCs w:val="24"/>
        </w:rPr>
        <w:t>presenta</w:t>
      </w:r>
      <w:proofErr w:type="gramEnd"/>
      <w:r w:rsidRPr="00FC38BA">
        <w:rPr>
          <w:rFonts w:ascii="Arial" w:hAnsi="Arial" w:cs="Arial"/>
          <w:sz w:val="24"/>
          <w:szCs w:val="24"/>
        </w:rPr>
        <w:t xml:space="preserve"> la delación ante la instancia correspondiente. </w:t>
      </w:r>
    </w:p>
    <w:p w14:paraId="13BC9260" w14:textId="0B895544" w:rsidR="00E92323" w:rsidRPr="00FC38BA" w:rsidRDefault="00E92323" w:rsidP="00FC38BA">
      <w:pPr>
        <w:pStyle w:val="Prrafodelista"/>
        <w:numPr>
          <w:ilvl w:val="0"/>
          <w:numId w:val="3"/>
        </w:numPr>
        <w:spacing w:line="360" w:lineRule="auto"/>
        <w:jc w:val="both"/>
        <w:rPr>
          <w:rFonts w:ascii="Arial" w:hAnsi="Arial" w:cs="Arial"/>
          <w:sz w:val="24"/>
          <w:szCs w:val="24"/>
        </w:rPr>
      </w:pPr>
      <w:r w:rsidRPr="00FC38BA">
        <w:rPr>
          <w:rFonts w:ascii="Arial" w:hAnsi="Arial" w:cs="Arial"/>
          <w:sz w:val="24"/>
          <w:szCs w:val="24"/>
        </w:rPr>
        <w:t>La circunstancia de presentar una delación no otorga a la persona que la promueve el derecho de exigir una determinada actuación del COEPCI</w:t>
      </w:r>
    </w:p>
    <w:p w14:paraId="2FDBDD80" w14:textId="0E92FED7" w:rsidR="00CC0BC6" w:rsidRPr="00FC38BA" w:rsidRDefault="00CC0BC6" w:rsidP="00FC38BA">
      <w:pPr>
        <w:pStyle w:val="Prrafodelista"/>
        <w:numPr>
          <w:ilvl w:val="0"/>
          <w:numId w:val="3"/>
        </w:numPr>
        <w:spacing w:line="360" w:lineRule="auto"/>
        <w:jc w:val="both"/>
        <w:rPr>
          <w:rFonts w:ascii="Arial" w:hAnsi="Arial" w:cs="Arial"/>
          <w:sz w:val="24"/>
          <w:szCs w:val="24"/>
        </w:rPr>
      </w:pPr>
      <w:r w:rsidRPr="00FC38BA">
        <w:rPr>
          <w:rFonts w:ascii="Arial" w:hAnsi="Arial" w:cs="Arial"/>
          <w:sz w:val="24"/>
          <w:szCs w:val="24"/>
        </w:rPr>
        <w:t xml:space="preserve">En caso de conformar una Comisión de Miembros del COEPCI esta estará integrada por al menos 3 miembros. Para desahogar las entrevistas se les concederá </w:t>
      </w:r>
      <w:r w:rsidR="00FC38BA" w:rsidRPr="00FC38BA">
        <w:rPr>
          <w:rFonts w:ascii="Arial" w:hAnsi="Arial" w:cs="Arial"/>
          <w:sz w:val="24"/>
          <w:szCs w:val="24"/>
        </w:rPr>
        <w:t>2</w:t>
      </w:r>
      <w:r w:rsidRPr="00FC38BA">
        <w:rPr>
          <w:rFonts w:ascii="Arial" w:hAnsi="Arial" w:cs="Arial"/>
          <w:sz w:val="24"/>
          <w:szCs w:val="24"/>
        </w:rPr>
        <w:t>0 días y deberá de dejarse constancia por escrito.</w:t>
      </w:r>
    </w:p>
    <w:p w14:paraId="358C4A7D" w14:textId="247FC150" w:rsidR="00E92323" w:rsidRPr="00FC38BA" w:rsidRDefault="00E92323" w:rsidP="00FC38BA">
      <w:pPr>
        <w:pStyle w:val="Prrafodelista"/>
        <w:numPr>
          <w:ilvl w:val="0"/>
          <w:numId w:val="3"/>
        </w:numPr>
        <w:spacing w:line="360" w:lineRule="auto"/>
        <w:jc w:val="both"/>
        <w:rPr>
          <w:rFonts w:ascii="Arial" w:hAnsi="Arial" w:cs="Arial"/>
          <w:sz w:val="24"/>
          <w:szCs w:val="24"/>
        </w:rPr>
      </w:pPr>
      <w:r w:rsidRPr="00FC38BA">
        <w:rPr>
          <w:rFonts w:ascii="Arial" w:hAnsi="Arial" w:cs="Arial"/>
          <w:sz w:val="24"/>
          <w:szCs w:val="24"/>
        </w:rPr>
        <w:t>Los servidores públicos de la UTRM deberán apoya a los miembros del COEPCI y proporcionar la documentación e informes que requieran para llevar a cabo sus funciones.</w:t>
      </w:r>
    </w:p>
    <w:p w14:paraId="16EDCE55" w14:textId="780463FC" w:rsidR="00E92323" w:rsidRPr="00FC38BA" w:rsidRDefault="00E92323" w:rsidP="00FC38BA">
      <w:pPr>
        <w:pStyle w:val="Prrafodelista"/>
        <w:numPr>
          <w:ilvl w:val="0"/>
          <w:numId w:val="3"/>
        </w:numPr>
        <w:spacing w:line="360" w:lineRule="auto"/>
        <w:jc w:val="both"/>
        <w:rPr>
          <w:rFonts w:ascii="Arial" w:hAnsi="Arial" w:cs="Arial"/>
          <w:sz w:val="24"/>
          <w:szCs w:val="24"/>
        </w:rPr>
      </w:pPr>
      <w:r w:rsidRPr="00FC38BA">
        <w:rPr>
          <w:rFonts w:ascii="Arial" w:hAnsi="Arial" w:cs="Arial"/>
          <w:sz w:val="24"/>
          <w:szCs w:val="24"/>
        </w:rPr>
        <w:lastRenderedPageBreak/>
        <w:t xml:space="preserve">El/la </w:t>
      </w:r>
      <w:proofErr w:type="gramStart"/>
      <w:r w:rsidRPr="00FC38BA">
        <w:rPr>
          <w:rFonts w:ascii="Arial" w:hAnsi="Arial" w:cs="Arial"/>
          <w:sz w:val="24"/>
          <w:szCs w:val="24"/>
        </w:rPr>
        <w:t>Presidente</w:t>
      </w:r>
      <w:proofErr w:type="gramEnd"/>
      <w:r w:rsidRPr="00FC38BA">
        <w:rPr>
          <w:rFonts w:ascii="Arial" w:hAnsi="Arial" w:cs="Arial"/>
          <w:sz w:val="24"/>
          <w:szCs w:val="24"/>
        </w:rPr>
        <w:t xml:space="preserve"> (a) podrá determinar </w:t>
      </w:r>
      <w:r w:rsidR="00CC0BC6" w:rsidRPr="00FC38BA">
        <w:rPr>
          <w:rFonts w:ascii="Arial" w:hAnsi="Arial" w:cs="Arial"/>
          <w:sz w:val="24"/>
          <w:szCs w:val="24"/>
        </w:rPr>
        <w:t>medidas</w:t>
      </w:r>
      <w:r w:rsidRPr="00FC38BA">
        <w:rPr>
          <w:rFonts w:ascii="Arial" w:hAnsi="Arial" w:cs="Arial"/>
          <w:sz w:val="24"/>
          <w:szCs w:val="24"/>
        </w:rPr>
        <w:t xml:space="preserve"> preventivas necesarias para que en caso de que la delación describa la existencia de </w:t>
      </w:r>
      <w:r w:rsidR="00CC0BC6" w:rsidRPr="00FC38BA">
        <w:rPr>
          <w:rFonts w:ascii="Arial" w:hAnsi="Arial" w:cs="Arial"/>
          <w:sz w:val="24"/>
          <w:szCs w:val="24"/>
        </w:rPr>
        <w:t>conductas</w:t>
      </w:r>
      <w:r w:rsidRPr="00FC38BA">
        <w:rPr>
          <w:rFonts w:ascii="Arial" w:hAnsi="Arial" w:cs="Arial"/>
          <w:sz w:val="24"/>
          <w:szCs w:val="24"/>
        </w:rPr>
        <w:t xml:space="preserve"> </w:t>
      </w:r>
      <w:r w:rsidR="00CC0BC6" w:rsidRPr="00FC38BA">
        <w:rPr>
          <w:rFonts w:ascii="Arial" w:hAnsi="Arial" w:cs="Arial"/>
          <w:sz w:val="24"/>
          <w:szCs w:val="24"/>
        </w:rPr>
        <w:t>características</w:t>
      </w:r>
      <w:r w:rsidRPr="00FC38BA">
        <w:rPr>
          <w:rFonts w:ascii="Arial" w:hAnsi="Arial" w:cs="Arial"/>
          <w:sz w:val="24"/>
          <w:szCs w:val="24"/>
        </w:rPr>
        <w:t xml:space="preserve"> de hostigamiento, agresión, </w:t>
      </w:r>
      <w:r w:rsidR="00CC0BC6" w:rsidRPr="00FC38BA">
        <w:rPr>
          <w:rFonts w:ascii="Arial" w:hAnsi="Arial" w:cs="Arial"/>
          <w:sz w:val="24"/>
          <w:szCs w:val="24"/>
        </w:rPr>
        <w:t>amedrentarían</w:t>
      </w:r>
      <w:r w:rsidRPr="00FC38BA">
        <w:rPr>
          <w:rFonts w:ascii="Arial" w:hAnsi="Arial" w:cs="Arial"/>
          <w:sz w:val="24"/>
          <w:szCs w:val="24"/>
        </w:rPr>
        <w:t xml:space="preserve">, acoso, intimidación o amenaza a una persona, sin que </w:t>
      </w:r>
      <w:r w:rsidR="00CC0BC6" w:rsidRPr="00FC38BA">
        <w:rPr>
          <w:rFonts w:ascii="Arial" w:hAnsi="Arial" w:cs="Arial"/>
          <w:sz w:val="24"/>
          <w:szCs w:val="24"/>
        </w:rPr>
        <w:t>ello</w:t>
      </w:r>
      <w:r w:rsidRPr="00FC38BA">
        <w:rPr>
          <w:rFonts w:ascii="Arial" w:hAnsi="Arial" w:cs="Arial"/>
          <w:sz w:val="24"/>
          <w:szCs w:val="24"/>
        </w:rPr>
        <w:t xml:space="preserve"> signifique tener como ciertos los hechos. </w:t>
      </w:r>
    </w:p>
    <w:p w14:paraId="6E8F77B1" w14:textId="34A5DE50" w:rsidR="00754C85" w:rsidRPr="00FC38BA" w:rsidRDefault="00FC38BA" w:rsidP="00FC38BA">
      <w:pPr>
        <w:pStyle w:val="Prrafodelista"/>
        <w:numPr>
          <w:ilvl w:val="0"/>
          <w:numId w:val="3"/>
        </w:numPr>
        <w:spacing w:line="360" w:lineRule="auto"/>
        <w:jc w:val="both"/>
        <w:rPr>
          <w:rFonts w:ascii="Arial" w:hAnsi="Arial" w:cs="Arial"/>
          <w:sz w:val="24"/>
          <w:szCs w:val="24"/>
        </w:rPr>
      </w:pPr>
      <w:r w:rsidRPr="00FC38BA">
        <w:rPr>
          <w:rFonts w:ascii="Arial" w:hAnsi="Arial" w:cs="Arial"/>
          <w:sz w:val="24"/>
          <w:szCs w:val="24"/>
        </w:rPr>
        <w:t>La atención de la delación deberá</w:t>
      </w:r>
      <w:r w:rsidR="00754C85" w:rsidRPr="00FC38BA">
        <w:rPr>
          <w:rFonts w:ascii="Arial" w:hAnsi="Arial" w:cs="Arial"/>
          <w:sz w:val="24"/>
          <w:szCs w:val="24"/>
        </w:rPr>
        <w:t xml:space="preserve"> concluirse por el COEPCI dentro de un plazo máximo de sese</w:t>
      </w:r>
      <w:r w:rsidRPr="00FC38BA">
        <w:rPr>
          <w:rFonts w:ascii="Arial" w:hAnsi="Arial" w:cs="Arial"/>
          <w:sz w:val="24"/>
          <w:szCs w:val="24"/>
        </w:rPr>
        <w:t>n</w:t>
      </w:r>
      <w:r w:rsidR="00754C85" w:rsidRPr="00FC38BA">
        <w:rPr>
          <w:rFonts w:ascii="Arial" w:hAnsi="Arial" w:cs="Arial"/>
          <w:sz w:val="24"/>
          <w:szCs w:val="24"/>
        </w:rPr>
        <w:t>ta días hábiles contados a partir de que se califique como probable incumplimiento.</w:t>
      </w:r>
    </w:p>
    <w:p w14:paraId="47F8234B" w14:textId="77777777" w:rsidR="00754C85" w:rsidRPr="00666439" w:rsidRDefault="00754C85" w:rsidP="00FF2747">
      <w:pPr>
        <w:jc w:val="both"/>
      </w:pPr>
    </w:p>
    <w:sectPr w:rsidR="00754C85" w:rsidRPr="00666439">
      <w:headerReference w:type="default" r:id="rId9"/>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3D9261C" w14:textId="77777777" w:rsidR="00D4137C" w:rsidRDefault="00D4137C" w:rsidP="00171C63">
      <w:pPr>
        <w:spacing w:after="0" w:line="240" w:lineRule="auto"/>
      </w:pPr>
      <w:r>
        <w:separator/>
      </w:r>
    </w:p>
  </w:endnote>
  <w:endnote w:type="continuationSeparator" w:id="0">
    <w:p w14:paraId="1D08A36C" w14:textId="77777777" w:rsidR="00D4137C" w:rsidRDefault="00D4137C" w:rsidP="00171C6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FF73964" w14:textId="77777777" w:rsidR="00D4137C" w:rsidRDefault="00D4137C" w:rsidP="00171C63">
      <w:pPr>
        <w:spacing w:after="0" w:line="240" w:lineRule="auto"/>
      </w:pPr>
      <w:r>
        <w:separator/>
      </w:r>
    </w:p>
  </w:footnote>
  <w:footnote w:type="continuationSeparator" w:id="0">
    <w:p w14:paraId="3830C44E" w14:textId="77777777" w:rsidR="00D4137C" w:rsidRDefault="00D4137C" w:rsidP="00171C6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F84FA7" w14:textId="5641B5FD" w:rsidR="00171C63" w:rsidRDefault="00171C63">
    <w:pPr>
      <w:pStyle w:val="Encabezado"/>
    </w:pPr>
    <w:r w:rsidRPr="009C4D1E">
      <w:rPr>
        <w:rFonts w:ascii="Arial" w:hAnsi="Arial" w:cs="Arial"/>
        <w:noProof/>
        <w:color w:val="000000"/>
      </w:rPr>
      <w:drawing>
        <wp:inline distT="0" distB="0" distL="0" distR="0" wp14:anchorId="31EF92C3" wp14:editId="4EDE133D">
          <wp:extent cx="1328839" cy="381000"/>
          <wp:effectExtent l="0" t="0" r="5080" b="0"/>
          <wp:docPr id="948738922" name="Imagen 2" descr="Imagen que contiene objeto, reloj, señal&#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8488147" name="Imagen 2" descr="Imagen que contiene objeto, reloj, señal&#10;&#10;Descripción generada automáticamente"/>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340106" cy="384230"/>
                  </a:xfrm>
                  <a:prstGeom prst="rect">
                    <a:avLst/>
                  </a:prstGeom>
                  <a:noFill/>
                  <a:ln>
                    <a:noFill/>
                  </a:ln>
                </pic:spPr>
              </pic:pic>
            </a:graphicData>
          </a:graphic>
        </wp:inline>
      </w:drawing>
    </w:r>
  </w:p>
  <w:p w14:paraId="7E08A470" w14:textId="77777777" w:rsidR="00171C63" w:rsidRDefault="00171C63">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35B6570"/>
    <w:multiLevelType w:val="hybridMultilevel"/>
    <w:tmpl w:val="8AD24074"/>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35181C27"/>
    <w:multiLevelType w:val="hybridMultilevel"/>
    <w:tmpl w:val="57166F72"/>
    <w:lvl w:ilvl="0" w:tplc="1194B0C6">
      <w:start w:val="4"/>
      <w:numFmt w:val="bullet"/>
      <w:lvlText w:val="-"/>
      <w:lvlJc w:val="left"/>
      <w:pPr>
        <w:ind w:left="720" w:hanging="360"/>
      </w:pPr>
      <w:rPr>
        <w:rFonts w:ascii="Aptos" w:eastAsiaTheme="minorHAnsi" w:hAnsi="Aptos" w:cstheme="minorBid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52C10340"/>
    <w:multiLevelType w:val="hybridMultilevel"/>
    <w:tmpl w:val="520C1A92"/>
    <w:lvl w:ilvl="0" w:tplc="1194B0C6">
      <w:start w:val="4"/>
      <w:numFmt w:val="bullet"/>
      <w:lvlText w:val="-"/>
      <w:lvlJc w:val="left"/>
      <w:pPr>
        <w:ind w:left="720" w:hanging="360"/>
      </w:pPr>
      <w:rPr>
        <w:rFonts w:ascii="Aptos" w:eastAsiaTheme="minorHAnsi" w:hAnsi="Aptos" w:cstheme="minorBid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16cid:durableId="526335603">
    <w:abstractNumId w:val="2"/>
  </w:num>
  <w:num w:numId="2" w16cid:durableId="846794677">
    <w:abstractNumId w:val="0"/>
  </w:num>
  <w:num w:numId="3" w16cid:durableId="51408145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2A50"/>
    <w:rsid w:val="00022A50"/>
    <w:rsid w:val="00041677"/>
    <w:rsid w:val="000D2852"/>
    <w:rsid w:val="000E6048"/>
    <w:rsid w:val="000F2190"/>
    <w:rsid w:val="00143F86"/>
    <w:rsid w:val="00171C63"/>
    <w:rsid w:val="001A3446"/>
    <w:rsid w:val="002921D9"/>
    <w:rsid w:val="003919F5"/>
    <w:rsid w:val="003F3E62"/>
    <w:rsid w:val="0045570A"/>
    <w:rsid w:val="00666439"/>
    <w:rsid w:val="00754C85"/>
    <w:rsid w:val="009C0244"/>
    <w:rsid w:val="00AD235C"/>
    <w:rsid w:val="00AF33FD"/>
    <w:rsid w:val="00B530CE"/>
    <w:rsid w:val="00CC0BC6"/>
    <w:rsid w:val="00D4137C"/>
    <w:rsid w:val="00E367D8"/>
    <w:rsid w:val="00E92323"/>
    <w:rsid w:val="00EF6C07"/>
    <w:rsid w:val="00FC38BA"/>
    <w:rsid w:val="00FF274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CACC8E"/>
  <w15:chartTrackingRefBased/>
  <w15:docId w15:val="{C5F979BF-5BB0-4D17-9AA2-E8232B27E9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MX"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022A5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022A5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022A50"/>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022A50"/>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022A50"/>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022A50"/>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022A50"/>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022A50"/>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022A50"/>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022A50"/>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022A50"/>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022A50"/>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022A50"/>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022A50"/>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022A50"/>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022A50"/>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022A50"/>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022A50"/>
    <w:rPr>
      <w:rFonts w:eastAsiaTheme="majorEastAsia" w:cstheme="majorBidi"/>
      <w:color w:val="272727" w:themeColor="text1" w:themeTint="D8"/>
    </w:rPr>
  </w:style>
  <w:style w:type="paragraph" w:styleId="Ttulo">
    <w:name w:val="Title"/>
    <w:basedOn w:val="Normal"/>
    <w:next w:val="Normal"/>
    <w:link w:val="TtuloCar"/>
    <w:uiPriority w:val="10"/>
    <w:qFormat/>
    <w:rsid w:val="00022A5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022A50"/>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022A50"/>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022A50"/>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022A50"/>
    <w:pPr>
      <w:spacing w:before="160"/>
      <w:jc w:val="center"/>
    </w:pPr>
    <w:rPr>
      <w:i/>
      <w:iCs/>
      <w:color w:val="404040" w:themeColor="text1" w:themeTint="BF"/>
    </w:rPr>
  </w:style>
  <w:style w:type="character" w:customStyle="1" w:styleId="CitaCar">
    <w:name w:val="Cita Car"/>
    <w:basedOn w:val="Fuentedeprrafopredeter"/>
    <w:link w:val="Cita"/>
    <w:uiPriority w:val="29"/>
    <w:rsid w:val="00022A50"/>
    <w:rPr>
      <w:i/>
      <w:iCs/>
      <w:color w:val="404040" w:themeColor="text1" w:themeTint="BF"/>
    </w:rPr>
  </w:style>
  <w:style w:type="paragraph" w:styleId="Prrafodelista">
    <w:name w:val="List Paragraph"/>
    <w:basedOn w:val="Normal"/>
    <w:uiPriority w:val="34"/>
    <w:qFormat/>
    <w:rsid w:val="00022A50"/>
    <w:pPr>
      <w:ind w:left="720"/>
      <w:contextualSpacing/>
    </w:pPr>
  </w:style>
  <w:style w:type="character" w:styleId="nfasisintenso">
    <w:name w:val="Intense Emphasis"/>
    <w:basedOn w:val="Fuentedeprrafopredeter"/>
    <w:uiPriority w:val="21"/>
    <w:qFormat/>
    <w:rsid w:val="00022A50"/>
    <w:rPr>
      <w:i/>
      <w:iCs/>
      <w:color w:val="0F4761" w:themeColor="accent1" w:themeShade="BF"/>
    </w:rPr>
  </w:style>
  <w:style w:type="paragraph" w:styleId="Citadestacada">
    <w:name w:val="Intense Quote"/>
    <w:basedOn w:val="Normal"/>
    <w:next w:val="Normal"/>
    <w:link w:val="CitadestacadaCar"/>
    <w:uiPriority w:val="30"/>
    <w:qFormat/>
    <w:rsid w:val="00022A5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022A50"/>
    <w:rPr>
      <w:i/>
      <w:iCs/>
      <w:color w:val="0F4761" w:themeColor="accent1" w:themeShade="BF"/>
    </w:rPr>
  </w:style>
  <w:style w:type="character" w:styleId="Referenciaintensa">
    <w:name w:val="Intense Reference"/>
    <w:basedOn w:val="Fuentedeprrafopredeter"/>
    <w:uiPriority w:val="32"/>
    <w:qFormat/>
    <w:rsid w:val="00022A50"/>
    <w:rPr>
      <w:b/>
      <w:bCs/>
      <w:smallCaps/>
      <w:color w:val="0F4761" w:themeColor="accent1" w:themeShade="BF"/>
      <w:spacing w:val="5"/>
    </w:rPr>
  </w:style>
  <w:style w:type="character" w:styleId="Hipervnculo">
    <w:name w:val="Hyperlink"/>
    <w:basedOn w:val="Fuentedeprrafopredeter"/>
    <w:uiPriority w:val="99"/>
    <w:unhideWhenUsed/>
    <w:rsid w:val="00666439"/>
    <w:rPr>
      <w:color w:val="467886" w:themeColor="hyperlink"/>
      <w:u w:val="single"/>
    </w:rPr>
  </w:style>
  <w:style w:type="character" w:styleId="Mencinsinresolver">
    <w:name w:val="Unresolved Mention"/>
    <w:basedOn w:val="Fuentedeprrafopredeter"/>
    <w:uiPriority w:val="99"/>
    <w:semiHidden/>
    <w:unhideWhenUsed/>
    <w:rsid w:val="00666439"/>
    <w:rPr>
      <w:color w:val="605E5C"/>
      <w:shd w:val="clear" w:color="auto" w:fill="E1DFDD"/>
    </w:rPr>
  </w:style>
  <w:style w:type="table" w:styleId="Tablaconcuadrcula">
    <w:name w:val="Table Grid"/>
    <w:basedOn w:val="Tablanormal"/>
    <w:uiPriority w:val="39"/>
    <w:rsid w:val="00AF33F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cabezado">
    <w:name w:val="header"/>
    <w:basedOn w:val="Normal"/>
    <w:link w:val="EncabezadoCar"/>
    <w:uiPriority w:val="99"/>
    <w:unhideWhenUsed/>
    <w:rsid w:val="00171C63"/>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171C63"/>
  </w:style>
  <w:style w:type="paragraph" w:styleId="Piedepgina">
    <w:name w:val="footer"/>
    <w:basedOn w:val="Normal"/>
    <w:link w:val="PiedepginaCar"/>
    <w:uiPriority w:val="99"/>
    <w:unhideWhenUsed/>
    <w:rsid w:val="00171C63"/>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171C6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omite.etica@utrivieramaya.edu.mx" TargetMode="Externa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6</Pages>
  <Words>1307</Words>
  <Characters>7193</Characters>
  <Application>Microsoft Office Word</Application>
  <DocSecurity>0</DocSecurity>
  <Lines>59</Lines>
  <Paragraphs>16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8484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Fedra Helena Rea Vargas</dc:creator>
  <cp:keywords/>
  <dc:description/>
  <cp:lastModifiedBy>Fedra Helena Rea Vargas</cp:lastModifiedBy>
  <cp:revision>2</cp:revision>
  <dcterms:created xsi:type="dcterms:W3CDTF">2026-01-22T16:04:00Z</dcterms:created>
  <dcterms:modified xsi:type="dcterms:W3CDTF">2026-01-22T16:04:00Z</dcterms:modified>
</cp:coreProperties>
</file>